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4 -->
  <w:body>
    <w:p w:rsidR="001943B5" w:rsidP="001943B5" w14:paraId="3556BC43" w14:textId="77777777">
      <w:pPr>
        <w:spacing w:line="360" w:lineRule="auto"/>
        <w:jc w:val="center"/>
        <w:rPr>
          <w:b/>
          <w:sz w:val="28"/>
          <w:szCs w:val="28"/>
        </w:rPr>
      </w:pPr>
      <w:r>
        <w:rPr>
          <w:rFonts w:cs="Arial"/>
          <w:noProof/>
          <w:sz w:val="48"/>
          <w:lang w:eastAsia="en-GB"/>
        </w:rPr>
        <w:drawing>
          <wp:inline distT="0" distB="0" distL="0" distR="0">
            <wp:extent cx="2918460" cy="1463040"/>
            <wp:effectExtent l="19050" t="0" r="0" b="0"/>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86415" name="Picture 1" descr="Ruchazie Logo"/>
                    <pic:cNvPicPr>
                      <a:picLocks noChangeAspect="1" noChangeArrowheads="1"/>
                    </pic:cNvPicPr>
                  </pic:nvPicPr>
                  <pic:blipFill>
                    <a:blip xmlns:r="http://schemas.openxmlformats.org/officeDocument/2006/relationships" r:embed="rId4" cstate="print"/>
                    <a:stretch>
                      <a:fillRect/>
                    </a:stretch>
                  </pic:blipFill>
                  <pic:spPr bwMode="auto">
                    <a:xfrm>
                      <a:off x="0" y="0"/>
                      <a:ext cx="2918460" cy="1463040"/>
                    </a:xfrm>
                    <a:prstGeom prst="rect">
                      <a:avLst/>
                    </a:prstGeom>
                    <a:noFill/>
                    <a:ln w="9525">
                      <a:noFill/>
                      <a:miter lim="800000"/>
                      <a:headEnd/>
                      <a:tailEnd/>
                    </a:ln>
                  </pic:spPr>
                </pic:pic>
              </a:graphicData>
            </a:graphic>
          </wp:inline>
        </w:drawing>
      </w:r>
    </w:p>
    <w:p w:rsidR="001943B5" w:rsidP="001943B5" w14:paraId="5B811919" w14:textId="77777777">
      <w:pPr>
        <w:spacing w:line="360" w:lineRule="auto"/>
        <w:jc w:val="both"/>
        <w:rPr>
          <w:b/>
          <w:sz w:val="28"/>
          <w:szCs w:val="28"/>
        </w:rPr>
      </w:pPr>
    </w:p>
    <w:p w:rsidR="001943B5" w:rsidP="001943B5" w14:paraId="02ACCE38" w14:textId="77777777">
      <w:pPr>
        <w:spacing w:line="360" w:lineRule="auto"/>
        <w:jc w:val="both"/>
        <w:rPr>
          <w:b/>
          <w:sz w:val="28"/>
          <w:szCs w:val="28"/>
        </w:rPr>
      </w:pPr>
    </w:p>
    <w:p w:rsidR="001943B5" w:rsidP="001943B5" w14:paraId="3A6FF0AB" w14:textId="77777777">
      <w:pPr>
        <w:spacing w:line="360" w:lineRule="auto"/>
        <w:jc w:val="both"/>
        <w:rPr>
          <w:b/>
          <w:sz w:val="28"/>
          <w:szCs w:val="28"/>
        </w:rPr>
      </w:pPr>
    </w:p>
    <w:p w:rsidR="001943B5" w:rsidP="001943B5" w14:paraId="73709E0C" w14:textId="77777777">
      <w:pPr>
        <w:spacing w:line="360" w:lineRule="auto"/>
        <w:jc w:val="both"/>
        <w:rPr>
          <w:b/>
          <w:sz w:val="28"/>
          <w:szCs w:val="28"/>
        </w:rPr>
      </w:pPr>
    </w:p>
    <w:p w:rsidR="001943B5" w:rsidP="001943B5" w14:paraId="426C1F9B" w14:textId="77777777">
      <w:pPr>
        <w:spacing w:line="360" w:lineRule="auto"/>
        <w:jc w:val="both"/>
        <w:rPr>
          <w:b/>
          <w:sz w:val="28"/>
          <w:szCs w:val="28"/>
        </w:rPr>
      </w:pPr>
    </w:p>
    <w:p w:rsidR="001943B5" w:rsidRPr="00C16515" w:rsidP="001943B5" w14:paraId="490550DA" w14:textId="77777777">
      <w:pPr>
        <w:widowControl w:val="0"/>
        <w:autoSpaceDE w:val="0"/>
        <w:autoSpaceDN w:val="0"/>
        <w:adjustRightInd w:val="0"/>
        <w:ind w:left="360"/>
        <w:jc w:val="center"/>
        <w:rPr>
          <w:rFonts w:cs="Arial"/>
          <w:b/>
          <w:bCs/>
          <w:sz w:val="48"/>
          <w:szCs w:val="48"/>
          <w:lang w:eastAsia="en-GB"/>
        </w:rPr>
      </w:pPr>
      <w:r>
        <w:rPr>
          <w:rFonts w:cs="Arial"/>
          <w:b/>
          <w:bCs/>
          <w:sz w:val="48"/>
          <w:szCs w:val="48"/>
          <w:lang w:eastAsia="en-GB"/>
        </w:rPr>
        <w:t>PRIVACY POLICY</w:t>
      </w:r>
    </w:p>
    <w:p w:rsidR="001943B5" w:rsidRPr="00C16515" w:rsidP="001943B5" w14:paraId="6BFBA956" w14:textId="77777777">
      <w:pPr>
        <w:rPr>
          <w:rFonts w:cs="Arial"/>
          <w:sz w:val="48"/>
          <w:szCs w:val="48"/>
          <w:lang w:eastAsia="en-GB"/>
        </w:rPr>
      </w:pPr>
    </w:p>
    <w:p w:rsidR="001943B5" w:rsidRPr="00C16515" w:rsidP="001943B5" w14:paraId="309C48E5" w14:textId="77777777">
      <w:pPr>
        <w:rPr>
          <w:rFonts w:cs="Arial"/>
          <w:szCs w:val="24"/>
          <w:lang w:eastAsia="en-GB"/>
        </w:rPr>
      </w:pPr>
    </w:p>
    <w:p w:rsidR="001943B5" w:rsidRPr="00C16515" w:rsidP="001943B5" w14:paraId="76A54E62" w14:textId="77777777">
      <w:pPr>
        <w:rPr>
          <w:rFonts w:cs="Arial"/>
          <w:szCs w:val="24"/>
          <w:lang w:eastAsia="en-GB"/>
        </w:rPr>
      </w:pPr>
    </w:p>
    <w:p w:rsidR="001943B5" w:rsidRPr="00C16515" w:rsidP="001943B5" w14:paraId="3EBCF399" w14:textId="77777777">
      <w:pPr>
        <w:rPr>
          <w:rFonts w:cs="Arial"/>
          <w:szCs w:val="24"/>
          <w:lang w:eastAsia="en-GB"/>
        </w:rPr>
      </w:pPr>
    </w:p>
    <w:p w:rsidR="001943B5" w:rsidRPr="00C16515" w:rsidP="001943B5" w14:paraId="71DA00EE" w14:textId="77777777">
      <w:pPr>
        <w:rPr>
          <w:rFonts w:cs="Arial"/>
          <w:szCs w:val="24"/>
          <w:lang w:eastAsia="en-GB"/>
        </w:rPr>
      </w:pPr>
    </w:p>
    <w:p w:rsidR="001943B5" w:rsidRPr="00C16515" w:rsidP="001943B5" w14:paraId="5362AE2F" w14:textId="77777777">
      <w:pPr>
        <w:rPr>
          <w:rFonts w:cs="Arial"/>
          <w:szCs w:val="24"/>
          <w:lang w:eastAsia="en-GB"/>
        </w:rPr>
      </w:pPr>
    </w:p>
    <w:p w:rsidR="001943B5" w:rsidRPr="00C16515" w:rsidP="001943B5" w14:paraId="0BC12781" w14:textId="77777777">
      <w:pPr>
        <w:rPr>
          <w:rFonts w:cs="Arial"/>
          <w:szCs w:val="24"/>
          <w:lang w:eastAsia="en-GB"/>
        </w:rPr>
      </w:pPr>
    </w:p>
    <w:p w:rsidR="001943B5" w:rsidRPr="00C16515" w:rsidP="001943B5" w14:paraId="0C153EF5" w14:textId="77777777">
      <w:pPr>
        <w:rPr>
          <w:rFonts w:cs="Arial"/>
          <w:szCs w:val="24"/>
          <w:lang w:eastAsia="en-GB"/>
        </w:rPr>
      </w:pPr>
    </w:p>
    <w:p w:rsidR="001943B5" w:rsidRPr="00C16515" w:rsidP="001943B5" w14:paraId="261CEE3C" w14:textId="77777777">
      <w:pPr>
        <w:rPr>
          <w:rFonts w:cs="Arial"/>
          <w:szCs w:val="24"/>
          <w:lang w:eastAsia="en-GB"/>
        </w:rPr>
      </w:pPr>
    </w:p>
    <w:p w:rsidR="001943B5" w:rsidRPr="00C16515" w:rsidP="001943B5" w14:paraId="3EEC343C" w14:textId="77777777">
      <w:pPr>
        <w:rPr>
          <w:rFonts w:cs="Arial"/>
          <w:szCs w:val="24"/>
          <w:lang w:eastAsia="en-GB"/>
        </w:rPr>
      </w:pPr>
    </w:p>
    <w:p w:rsidR="001943B5" w:rsidRPr="00C16515" w:rsidP="001943B5" w14:paraId="069CC3BB" w14:textId="77777777">
      <w:pPr>
        <w:rPr>
          <w:rFonts w:cs="Arial"/>
          <w:szCs w:val="24"/>
          <w:lang w:eastAsia="en-GB"/>
        </w:rPr>
      </w:pPr>
    </w:p>
    <w:p w:rsidR="001943B5" w:rsidRPr="00C16515" w:rsidP="001943B5" w14:paraId="470D9FEB" w14:textId="77777777">
      <w:pPr>
        <w:widowControl w:val="0"/>
        <w:autoSpaceDE w:val="0"/>
        <w:autoSpaceDN w:val="0"/>
        <w:adjustRightInd w:val="0"/>
        <w:ind w:left="360"/>
        <w:rPr>
          <w:rFonts w:cs="Arial"/>
          <w:b/>
          <w:bCs/>
          <w:szCs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9"/>
        <w:gridCol w:w="3187"/>
      </w:tblGrid>
      <w:tr w14:paraId="6F82EF9F" w14:textId="77777777" w:rsidTr="00A250D6">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844" w:type="dxa"/>
            <w:shd w:val="clear" w:color="auto" w:fill="auto"/>
          </w:tcPr>
          <w:p w:rsidR="001943B5" w:rsidRPr="00C16515" w:rsidP="00A250D6" w14:paraId="70BCE30B" w14:textId="77777777">
            <w:pPr>
              <w:widowControl w:val="0"/>
              <w:autoSpaceDE w:val="0"/>
              <w:autoSpaceDN w:val="0"/>
              <w:adjustRightInd w:val="0"/>
              <w:rPr>
                <w:rFonts w:cs="Arial"/>
                <w:b/>
                <w:bCs/>
                <w:szCs w:val="24"/>
                <w:lang w:eastAsia="en-GB"/>
              </w:rPr>
            </w:pPr>
            <w:r w:rsidRPr="00C16515">
              <w:rPr>
                <w:rFonts w:cs="Arial"/>
                <w:b/>
                <w:bCs/>
                <w:szCs w:val="24"/>
                <w:lang w:eastAsia="en-GB"/>
              </w:rPr>
              <w:t>Date of Policy</w:t>
            </w:r>
          </w:p>
        </w:tc>
        <w:tc>
          <w:tcPr>
            <w:tcW w:w="3372" w:type="dxa"/>
            <w:shd w:val="clear" w:color="auto" w:fill="auto"/>
          </w:tcPr>
          <w:p w:rsidR="001943B5" w:rsidRPr="00C16515" w:rsidP="00A250D6" w14:paraId="195F13AF" w14:textId="77777777">
            <w:pPr>
              <w:widowControl w:val="0"/>
              <w:autoSpaceDE w:val="0"/>
              <w:autoSpaceDN w:val="0"/>
              <w:adjustRightInd w:val="0"/>
              <w:rPr>
                <w:rFonts w:cs="Arial"/>
                <w:b/>
                <w:bCs/>
                <w:szCs w:val="24"/>
                <w:lang w:eastAsia="en-GB"/>
              </w:rPr>
            </w:pPr>
            <w:r>
              <w:rPr>
                <w:rFonts w:cs="Arial"/>
                <w:b/>
                <w:bCs/>
                <w:szCs w:val="24"/>
                <w:lang w:eastAsia="en-GB"/>
              </w:rPr>
              <w:t>April</w:t>
            </w:r>
            <w:r>
              <w:rPr>
                <w:rFonts w:cs="Arial"/>
                <w:b/>
                <w:bCs/>
                <w:szCs w:val="24"/>
                <w:lang w:eastAsia="en-GB"/>
              </w:rPr>
              <w:t xml:space="preserve"> 2018</w:t>
            </w:r>
          </w:p>
        </w:tc>
      </w:tr>
      <w:tr w14:paraId="59D59236" w14:textId="77777777" w:rsidTr="00A250D6">
        <w:tblPrEx>
          <w:tblW w:w="0" w:type="auto"/>
          <w:tblInd w:w="360" w:type="dxa"/>
          <w:tblLook w:val="04A0"/>
        </w:tblPrEx>
        <w:tc>
          <w:tcPr>
            <w:tcW w:w="5844" w:type="dxa"/>
            <w:shd w:val="clear" w:color="auto" w:fill="auto"/>
          </w:tcPr>
          <w:p w:rsidR="001943B5" w:rsidRPr="00C16515" w:rsidP="00A250D6" w14:paraId="0D2F98CE" w14:textId="77777777">
            <w:pPr>
              <w:widowControl w:val="0"/>
              <w:autoSpaceDE w:val="0"/>
              <w:autoSpaceDN w:val="0"/>
              <w:adjustRightInd w:val="0"/>
              <w:rPr>
                <w:rFonts w:cs="Arial"/>
                <w:b/>
                <w:bCs/>
                <w:szCs w:val="24"/>
                <w:lang w:eastAsia="en-GB"/>
              </w:rPr>
            </w:pPr>
            <w:r w:rsidRPr="00C16515">
              <w:rPr>
                <w:rFonts w:cs="Arial"/>
                <w:b/>
                <w:bCs/>
                <w:szCs w:val="24"/>
                <w:lang w:eastAsia="en-GB"/>
              </w:rPr>
              <w:t>Date approved by Management Committee</w:t>
            </w:r>
          </w:p>
        </w:tc>
        <w:tc>
          <w:tcPr>
            <w:tcW w:w="3372" w:type="dxa"/>
            <w:shd w:val="clear" w:color="auto" w:fill="auto"/>
          </w:tcPr>
          <w:p w:rsidR="001943B5" w:rsidRPr="00C16515" w:rsidP="00A250D6" w14:paraId="7605DBFE" w14:textId="77777777">
            <w:pPr>
              <w:widowControl w:val="0"/>
              <w:autoSpaceDE w:val="0"/>
              <w:autoSpaceDN w:val="0"/>
              <w:adjustRightInd w:val="0"/>
              <w:rPr>
                <w:rFonts w:cs="Arial"/>
                <w:b/>
                <w:bCs/>
                <w:szCs w:val="24"/>
                <w:lang w:eastAsia="en-GB"/>
              </w:rPr>
            </w:pPr>
            <w:r>
              <w:rPr>
                <w:rFonts w:cs="Arial"/>
                <w:b/>
                <w:bCs/>
                <w:szCs w:val="24"/>
                <w:lang w:eastAsia="en-GB"/>
              </w:rPr>
              <w:t>26</w:t>
            </w:r>
            <w:r w:rsidRPr="001E49E2">
              <w:rPr>
                <w:rFonts w:cs="Arial"/>
                <w:b/>
                <w:bCs/>
                <w:szCs w:val="24"/>
                <w:vertAlign w:val="superscript"/>
                <w:lang w:eastAsia="en-GB"/>
              </w:rPr>
              <w:t>th</w:t>
            </w:r>
            <w:r>
              <w:rPr>
                <w:rFonts w:cs="Arial"/>
                <w:b/>
                <w:bCs/>
                <w:szCs w:val="24"/>
                <w:lang w:eastAsia="en-GB"/>
              </w:rPr>
              <w:t xml:space="preserve"> April 2018</w:t>
            </w:r>
          </w:p>
        </w:tc>
      </w:tr>
      <w:tr w14:paraId="3A480906" w14:textId="77777777" w:rsidTr="00A250D6">
        <w:tblPrEx>
          <w:tblW w:w="0" w:type="auto"/>
          <w:tblInd w:w="360" w:type="dxa"/>
          <w:tblLook w:val="04A0"/>
        </w:tblPrEx>
        <w:tc>
          <w:tcPr>
            <w:tcW w:w="5844" w:type="dxa"/>
            <w:shd w:val="clear" w:color="auto" w:fill="auto"/>
          </w:tcPr>
          <w:p w:rsidR="001943B5" w:rsidRPr="00C16515" w:rsidP="00A250D6" w14:paraId="71571408" w14:textId="77777777">
            <w:pPr>
              <w:widowControl w:val="0"/>
              <w:autoSpaceDE w:val="0"/>
              <w:autoSpaceDN w:val="0"/>
              <w:adjustRightInd w:val="0"/>
              <w:rPr>
                <w:rFonts w:cs="Arial"/>
                <w:b/>
                <w:bCs/>
                <w:szCs w:val="24"/>
                <w:lang w:eastAsia="en-GB"/>
              </w:rPr>
            </w:pPr>
            <w:r w:rsidRPr="00C16515">
              <w:rPr>
                <w:rFonts w:cs="Arial"/>
                <w:b/>
                <w:bCs/>
                <w:szCs w:val="24"/>
                <w:lang w:eastAsia="en-GB"/>
              </w:rPr>
              <w:t>Date for review</w:t>
            </w:r>
          </w:p>
        </w:tc>
        <w:tc>
          <w:tcPr>
            <w:tcW w:w="3372" w:type="dxa"/>
            <w:shd w:val="clear" w:color="auto" w:fill="auto"/>
          </w:tcPr>
          <w:p w:rsidR="001943B5" w:rsidRPr="00C16515" w:rsidP="00A250D6" w14:paraId="34A85EC2" w14:textId="7ACDA706">
            <w:pPr>
              <w:widowControl w:val="0"/>
              <w:autoSpaceDE w:val="0"/>
              <w:autoSpaceDN w:val="0"/>
              <w:adjustRightInd w:val="0"/>
              <w:rPr>
                <w:rFonts w:cs="Arial"/>
                <w:b/>
                <w:bCs/>
                <w:szCs w:val="24"/>
                <w:lang w:eastAsia="en-GB"/>
              </w:rPr>
            </w:pPr>
            <w:r>
              <w:rPr>
                <w:rFonts w:cs="Arial"/>
                <w:b/>
                <w:bCs/>
                <w:szCs w:val="24"/>
                <w:lang w:eastAsia="en-GB"/>
              </w:rPr>
              <w:t>Sept 2024</w:t>
            </w:r>
          </w:p>
        </w:tc>
      </w:tr>
      <w:tr w14:paraId="13B1061E" w14:textId="77777777" w:rsidTr="00A250D6">
        <w:tblPrEx>
          <w:tblW w:w="0" w:type="auto"/>
          <w:tblInd w:w="360" w:type="dxa"/>
          <w:tblLook w:val="04A0"/>
        </w:tblPrEx>
        <w:tc>
          <w:tcPr>
            <w:tcW w:w="5844" w:type="dxa"/>
            <w:shd w:val="clear" w:color="auto" w:fill="auto"/>
          </w:tcPr>
          <w:p w:rsidR="000C4AC4" w:rsidRPr="00C16515" w:rsidP="00A250D6" w14:paraId="788F0F22" w14:textId="77777777">
            <w:pPr>
              <w:widowControl w:val="0"/>
              <w:autoSpaceDE w:val="0"/>
              <w:autoSpaceDN w:val="0"/>
              <w:adjustRightInd w:val="0"/>
              <w:rPr>
                <w:rFonts w:cs="Arial"/>
                <w:b/>
                <w:bCs/>
                <w:szCs w:val="24"/>
                <w:lang w:eastAsia="en-GB"/>
              </w:rPr>
            </w:pPr>
            <w:r>
              <w:rPr>
                <w:rFonts w:cs="Arial"/>
                <w:b/>
                <w:bCs/>
                <w:szCs w:val="24"/>
                <w:lang w:eastAsia="en-GB"/>
              </w:rPr>
              <w:t xml:space="preserve">Reviewed </w:t>
            </w:r>
          </w:p>
        </w:tc>
        <w:tc>
          <w:tcPr>
            <w:tcW w:w="3372" w:type="dxa"/>
            <w:shd w:val="clear" w:color="auto" w:fill="auto"/>
          </w:tcPr>
          <w:p w:rsidR="000C4AC4" w:rsidP="00A250D6" w14:paraId="23447108" w14:textId="3E974D7A">
            <w:pPr>
              <w:widowControl w:val="0"/>
              <w:autoSpaceDE w:val="0"/>
              <w:autoSpaceDN w:val="0"/>
              <w:adjustRightInd w:val="0"/>
              <w:rPr>
                <w:rFonts w:cs="Arial"/>
                <w:b/>
                <w:bCs/>
                <w:szCs w:val="24"/>
                <w:lang w:eastAsia="en-GB"/>
              </w:rPr>
            </w:pPr>
            <w:r>
              <w:rPr>
                <w:rFonts w:cs="Arial"/>
                <w:b/>
                <w:bCs/>
                <w:szCs w:val="24"/>
                <w:lang w:eastAsia="en-GB"/>
              </w:rPr>
              <w:t>November 2024</w:t>
            </w:r>
          </w:p>
        </w:tc>
      </w:tr>
      <w:tr w14:paraId="6112DF34" w14:textId="77777777" w:rsidTr="00A250D6">
        <w:tblPrEx>
          <w:tblW w:w="0" w:type="auto"/>
          <w:tblInd w:w="360" w:type="dxa"/>
          <w:tblLook w:val="04A0"/>
        </w:tblPrEx>
        <w:tc>
          <w:tcPr>
            <w:tcW w:w="5844" w:type="dxa"/>
            <w:shd w:val="clear" w:color="auto" w:fill="auto"/>
          </w:tcPr>
          <w:p w:rsidR="000C4AC4" w:rsidP="00A250D6" w14:paraId="094467F2" w14:textId="77777777">
            <w:pPr>
              <w:widowControl w:val="0"/>
              <w:autoSpaceDE w:val="0"/>
              <w:autoSpaceDN w:val="0"/>
              <w:adjustRightInd w:val="0"/>
              <w:rPr>
                <w:rFonts w:cs="Arial"/>
                <w:b/>
                <w:bCs/>
                <w:szCs w:val="24"/>
                <w:lang w:eastAsia="en-GB"/>
              </w:rPr>
            </w:pPr>
            <w:r>
              <w:rPr>
                <w:rFonts w:cs="Arial"/>
                <w:b/>
                <w:bCs/>
                <w:szCs w:val="24"/>
                <w:lang w:eastAsia="en-GB"/>
              </w:rPr>
              <w:t xml:space="preserve">Due for review </w:t>
            </w:r>
          </w:p>
        </w:tc>
        <w:tc>
          <w:tcPr>
            <w:tcW w:w="3372" w:type="dxa"/>
            <w:shd w:val="clear" w:color="auto" w:fill="auto"/>
          </w:tcPr>
          <w:p w:rsidR="000C4AC4" w:rsidP="00A250D6" w14:paraId="2054677D" w14:textId="74B51A82">
            <w:pPr>
              <w:widowControl w:val="0"/>
              <w:autoSpaceDE w:val="0"/>
              <w:autoSpaceDN w:val="0"/>
              <w:adjustRightInd w:val="0"/>
              <w:rPr>
                <w:rFonts w:cs="Arial"/>
                <w:b/>
                <w:bCs/>
                <w:szCs w:val="24"/>
                <w:lang w:eastAsia="en-GB"/>
              </w:rPr>
            </w:pPr>
            <w:r>
              <w:rPr>
                <w:rFonts w:cs="Arial"/>
                <w:b/>
                <w:bCs/>
                <w:szCs w:val="24"/>
                <w:lang w:eastAsia="en-GB"/>
              </w:rPr>
              <w:t>November 2026</w:t>
            </w:r>
          </w:p>
        </w:tc>
      </w:tr>
    </w:tbl>
    <w:p w:rsidR="001943B5" w:rsidP="001943B5" w14:paraId="2C09C1F5" w14:textId="77777777">
      <w:pPr>
        <w:shd w:val="clear" w:color="auto" w:fill="FFFFFF"/>
        <w:rPr>
          <w:rFonts w:cs="Arial"/>
          <w:color w:val="943634"/>
          <w:sz w:val="52"/>
        </w:rPr>
      </w:pPr>
    </w:p>
    <w:p w:rsidR="001943B5" w:rsidP="001943B5" w14:paraId="0D629558" w14:textId="77777777">
      <w:pPr>
        <w:spacing w:line="360" w:lineRule="auto"/>
        <w:jc w:val="both"/>
        <w:rPr>
          <w:b/>
          <w:sz w:val="28"/>
          <w:szCs w:val="28"/>
        </w:rPr>
      </w:pPr>
    </w:p>
    <w:p w:rsidR="001943B5" w:rsidP="001943B5" w14:paraId="1A08136F" w14:textId="77777777">
      <w:pPr>
        <w:spacing w:line="360" w:lineRule="auto"/>
        <w:jc w:val="both"/>
        <w:rPr>
          <w:b/>
          <w:sz w:val="28"/>
          <w:szCs w:val="28"/>
        </w:rPr>
      </w:pPr>
    </w:p>
    <w:p w:rsidR="001943B5" w:rsidP="001943B5" w14:paraId="42DE4139" w14:textId="77777777">
      <w:pPr>
        <w:spacing w:line="360" w:lineRule="auto"/>
        <w:jc w:val="both"/>
        <w:rPr>
          <w:b/>
          <w:sz w:val="28"/>
          <w:szCs w:val="28"/>
        </w:rPr>
      </w:pPr>
    </w:p>
    <w:p w:rsidR="001943B5" w:rsidP="001943B5" w14:paraId="6378EE83" w14:textId="77777777">
      <w:pPr>
        <w:spacing w:line="360" w:lineRule="auto"/>
        <w:jc w:val="both"/>
        <w:rPr>
          <w:b/>
          <w:sz w:val="28"/>
          <w:szCs w:val="28"/>
        </w:rPr>
      </w:pPr>
    </w:p>
    <w:p w:rsidR="001943B5" w:rsidP="001943B5" w14:paraId="31630A62" w14:textId="77777777">
      <w:pPr>
        <w:spacing w:line="360" w:lineRule="auto"/>
        <w:jc w:val="both"/>
        <w:rPr>
          <w:b/>
          <w:sz w:val="28"/>
          <w:szCs w:val="28"/>
        </w:rPr>
      </w:pPr>
    </w:p>
    <w:p w:rsidR="001943B5" w:rsidP="001943B5" w14:paraId="3F920F91" w14:textId="77777777">
      <w:pPr>
        <w:spacing w:line="360" w:lineRule="auto"/>
        <w:jc w:val="both"/>
        <w:rPr>
          <w:b/>
          <w:sz w:val="28"/>
          <w:szCs w:val="28"/>
        </w:rPr>
      </w:pPr>
    </w:p>
    <w:p w:rsidR="001943B5" w:rsidP="001943B5" w14:paraId="616C0FD5" w14:textId="77777777">
      <w:pPr>
        <w:spacing w:line="360" w:lineRule="auto"/>
        <w:jc w:val="both"/>
        <w:rPr>
          <w:b/>
          <w:sz w:val="28"/>
          <w:szCs w:val="28"/>
        </w:rPr>
      </w:pPr>
    </w:p>
    <w:p w:rsidR="001943B5" w:rsidP="001943B5" w14:paraId="09A83646" w14:textId="77777777">
      <w:pPr>
        <w:spacing w:line="360" w:lineRule="auto"/>
        <w:jc w:val="both"/>
        <w:rPr>
          <w:b/>
          <w:sz w:val="28"/>
          <w:szCs w:val="28"/>
        </w:rPr>
      </w:pPr>
    </w:p>
    <w:p w:rsidR="001943B5" w:rsidRPr="00973430" w:rsidP="001943B5" w14:paraId="1536D162" w14:textId="77777777">
      <w:pPr>
        <w:spacing w:line="360" w:lineRule="auto"/>
        <w:jc w:val="both"/>
        <w:rPr>
          <w:b/>
          <w:sz w:val="28"/>
          <w:szCs w:val="28"/>
        </w:rPr>
      </w:pPr>
      <w:r w:rsidRPr="00973430">
        <w:rPr>
          <w:b/>
          <w:sz w:val="28"/>
          <w:szCs w:val="28"/>
        </w:rPr>
        <w:t>Contents</w:t>
      </w:r>
    </w:p>
    <w:p w14:paraId="36FE4260" w14:textId="3CE4EE26">
      <w:pPr>
        <w:pStyle w:val="TOC1"/>
        <w:rPr>
          <w:rFonts w:asciiTheme="minorHAnsi" w:hAnsiTheme="minorHAnsi"/>
          <w:noProof/>
          <w:sz w:val="22"/>
        </w:rPr>
      </w:pPr>
      <w:r>
        <w:rPr>
          <w:sz w:val="24"/>
          <w:szCs w:val="24"/>
        </w:rPr>
        <w:fldChar w:fldCharType="begin"/>
      </w:r>
      <w:r>
        <w:rPr>
          <w:sz w:val="24"/>
          <w:szCs w:val="24"/>
        </w:rPr>
        <w:instrText xml:space="preserve"> TOC \o "1-3" \h \z \u </w:instrText>
      </w:r>
      <w:r>
        <w:rPr>
          <w:sz w:val="24"/>
          <w:szCs w:val="24"/>
        </w:rPr>
        <w:fldChar w:fldCharType="separate"/>
      </w:r>
      <w:hyperlink w:anchor="_Toc256000000" w:history="1">
        <w:r w:rsidRPr="00973430">
          <w:rPr>
            <w:rStyle w:val="Hyperlink"/>
          </w:rPr>
          <w:t>Introduction</w:t>
        </w:r>
        <w:r>
          <w:tab/>
        </w:r>
        <w:r>
          <w:fldChar w:fldCharType="begin"/>
        </w:r>
        <w:r>
          <w:instrText xml:space="preserve"> PAGEREF _Toc256000000 \h </w:instrText>
        </w:r>
        <w:r>
          <w:fldChar w:fldCharType="separate"/>
        </w:r>
        <w:r>
          <w:t>3</w:t>
        </w:r>
        <w:r>
          <w:fldChar w:fldCharType="end"/>
        </w:r>
      </w:hyperlink>
    </w:p>
    <w:p>
      <w:pPr>
        <w:pStyle w:val="TOC1"/>
        <w:rPr>
          <w:rFonts w:asciiTheme="minorHAnsi" w:hAnsiTheme="minorHAnsi"/>
          <w:noProof/>
          <w:sz w:val="22"/>
        </w:rPr>
      </w:pPr>
      <w:hyperlink w:anchor="_Toc256000001" w:history="1">
        <w:r w:rsidRPr="00973430">
          <w:rPr>
            <w:rStyle w:val="Hyperlink"/>
          </w:rPr>
          <w:t>L</w:t>
        </w:r>
        <w:r w:rsidR="001E49E2">
          <w:rPr>
            <w:rStyle w:val="Hyperlink"/>
          </w:rPr>
          <w:t>e</w:t>
        </w:r>
        <w:r w:rsidRPr="00973430">
          <w:rPr>
            <w:rStyle w:val="Hyperlink"/>
          </w:rPr>
          <w:t>gislation</w:t>
        </w:r>
        <w:r>
          <w:tab/>
        </w:r>
        <w:r>
          <w:fldChar w:fldCharType="begin"/>
        </w:r>
        <w:r>
          <w:instrText xml:space="preserve"> PAGEREF _Toc256000001 \h </w:instrText>
        </w:r>
        <w:r>
          <w:fldChar w:fldCharType="separate"/>
        </w:r>
        <w:r>
          <w:t>3</w:t>
        </w:r>
        <w:r>
          <w:fldChar w:fldCharType="end"/>
        </w:r>
      </w:hyperlink>
    </w:p>
    <w:p>
      <w:pPr>
        <w:pStyle w:val="TOC1"/>
        <w:rPr>
          <w:rFonts w:asciiTheme="minorHAnsi" w:hAnsiTheme="minorHAnsi"/>
          <w:noProof/>
          <w:sz w:val="22"/>
        </w:rPr>
      </w:pPr>
      <w:hyperlink w:anchor="_Toc256000002" w:history="1">
        <w:r w:rsidRPr="002E7D02">
          <w:rPr>
            <w:rStyle w:val="Hyperlink"/>
          </w:rPr>
          <w:t>Compliance</w:t>
        </w:r>
        <w:r>
          <w:tab/>
        </w:r>
        <w:r>
          <w:fldChar w:fldCharType="begin"/>
        </w:r>
        <w:r>
          <w:instrText xml:space="preserve"> PAGEREF _Toc256000002 \h </w:instrText>
        </w:r>
        <w:r>
          <w:fldChar w:fldCharType="separate"/>
        </w:r>
        <w:r>
          <w:t>4</w:t>
        </w:r>
        <w:r>
          <w:fldChar w:fldCharType="end"/>
        </w:r>
      </w:hyperlink>
    </w:p>
    <w:p>
      <w:pPr>
        <w:pStyle w:val="TOC1"/>
        <w:rPr>
          <w:rFonts w:asciiTheme="minorHAnsi" w:hAnsiTheme="minorHAnsi"/>
          <w:noProof/>
          <w:sz w:val="22"/>
        </w:rPr>
      </w:pPr>
      <w:hyperlink w:anchor="_Toc256000003" w:history="1">
        <w:r w:rsidRPr="002E7D02">
          <w:rPr>
            <w:rStyle w:val="Hyperlink"/>
          </w:rPr>
          <w:t>Data Sharing</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sidRPr="002E7D02">
          <w:rPr>
            <w:rStyle w:val="Hyperlink"/>
          </w:rPr>
          <w:t>Data Processors</w:t>
        </w:r>
        <w:r>
          <w:tab/>
        </w:r>
        <w:r>
          <w:fldChar w:fldCharType="begin"/>
        </w:r>
        <w:r>
          <w:instrText xml:space="preserve"> PAGEREF _Toc256000004 \h </w:instrText>
        </w:r>
        <w:r>
          <w:fldChar w:fldCharType="separate"/>
        </w:r>
        <w:r>
          <w:t>5</w:t>
        </w:r>
        <w:r>
          <w:fldChar w:fldCharType="end"/>
        </w:r>
      </w:hyperlink>
    </w:p>
    <w:p>
      <w:pPr>
        <w:pStyle w:val="TOC1"/>
        <w:rPr>
          <w:rFonts w:asciiTheme="minorHAnsi" w:hAnsiTheme="minorHAnsi"/>
          <w:noProof/>
          <w:sz w:val="22"/>
        </w:rPr>
      </w:pPr>
      <w:hyperlink w:anchor="_Toc256000005" w:history="1">
        <w:r w:rsidRPr="002E7D02">
          <w:rPr>
            <w:rStyle w:val="Hyperlink"/>
          </w:rPr>
          <w:t>Individual Rights</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sidRPr="002E7D02">
          <w:rPr>
            <w:rStyle w:val="Hyperlink"/>
          </w:rPr>
          <w:t>Data Protection by Design</w:t>
        </w:r>
        <w:r>
          <w:tab/>
        </w:r>
        <w:r>
          <w:fldChar w:fldCharType="begin"/>
        </w:r>
        <w:r>
          <w:instrText xml:space="preserve"> PAGEREF _Toc256000006 \h </w:instrText>
        </w:r>
        <w:r>
          <w:fldChar w:fldCharType="separate"/>
        </w:r>
        <w:r>
          <w:t>7</w:t>
        </w:r>
        <w:r>
          <w:fldChar w:fldCharType="end"/>
        </w:r>
      </w:hyperlink>
    </w:p>
    <w:p>
      <w:pPr>
        <w:pStyle w:val="TOC1"/>
        <w:rPr>
          <w:rFonts w:asciiTheme="minorHAnsi" w:hAnsiTheme="minorHAnsi"/>
          <w:noProof/>
          <w:sz w:val="22"/>
        </w:rPr>
      </w:pPr>
      <w:hyperlink w:anchor="_Toc256000007" w:history="1">
        <w:r w:rsidRPr="002E7D02">
          <w:rPr>
            <w:rStyle w:val="Hyperlink"/>
          </w:rPr>
          <w:t>Training</w:t>
        </w:r>
        <w:r>
          <w:tab/>
        </w:r>
        <w:r>
          <w:fldChar w:fldCharType="begin"/>
        </w:r>
        <w:r>
          <w:instrText xml:space="preserve"> PAGEREF _Toc256000007 \h </w:instrText>
        </w:r>
        <w:r>
          <w:fldChar w:fldCharType="separate"/>
        </w:r>
        <w:r>
          <w:t>7</w:t>
        </w:r>
        <w:r>
          <w:fldChar w:fldCharType="end"/>
        </w:r>
      </w:hyperlink>
    </w:p>
    <w:p>
      <w:pPr>
        <w:pStyle w:val="TOC1"/>
        <w:rPr>
          <w:rFonts w:asciiTheme="minorHAnsi" w:hAnsiTheme="minorHAnsi"/>
          <w:noProof/>
          <w:sz w:val="22"/>
        </w:rPr>
      </w:pPr>
      <w:hyperlink w:anchor="_Toc256000008" w:history="1">
        <w:r w:rsidRPr="002E7D02">
          <w:rPr>
            <w:rStyle w:val="Hyperlink"/>
          </w:rPr>
          <w:t>Monitoring and Reporting</w:t>
        </w:r>
        <w:r>
          <w:tab/>
        </w:r>
        <w:r>
          <w:fldChar w:fldCharType="begin"/>
        </w:r>
        <w:r>
          <w:instrText xml:space="preserve"> PAGEREF _Toc256000008 \h </w:instrText>
        </w:r>
        <w:r>
          <w:fldChar w:fldCharType="separate"/>
        </w:r>
        <w:r>
          <w:t>7</w:t>
        </w:r>
        <w:r>
          <w:fldChar w:fldCharType="end"/>
        </w:r>
      </w:hyperlink>
    </w:p>
    <w:p>
      <w:pPr>
        <w:pStyle w:val="TOC1"/>
        <w:rPr>
          <w:rFonts w:asciiTheme="minorHAnsi" w:hAnsiTheme="minorHAnsi"/>
          <w:noProof/>
          <w:sz w:val="22"/>
        </w:rPr>
      </w:pPr>
      <w:hyperlink w:anchor="_Toc256000009" w:history="1">
        <w:r w:rsidRPr="00973430">
          <w:rPr>
            <w:rStyle w:val="Hyperlink"/>
          </w:rPr>
          <w:t xml:space="preserve">List of </w:t>
        </w:r>
        <w:r w:rsidR="002E7D02">
          <w:rPr>
            <w:rStyle w:val="Hyperlink"/>
          </w:rPr>
          <w:t>Related Documents</w:t>
        </w:r>
        <w:r>
          <w:tab/>
        </w:r>
        <w:r>
          <w:fldChar w:fldCharType="begin"/>
        </w:r>
        <w:r>
          <w:instrText xml:space="preserve"> PAGEREF _Toc256000009 \h </w:instrText>
        </w:r>
        <w:r>
          <w:fldChar w:fldCharType="separate"/>
        </w:r>
        <w:r>
          <w:t>8</w:t>
        </w:r>
        <w:r>
          <w:fldChar w:fldCharType="end"/>
        </w:r>
      </w:hyperlink>
    </w:p>
    <w:p w:rsidR="001943B5" w:rsidP="002E7D02">
      <w:pPr>
        <w:spacing w:line="360" w:lineRule="auto"/>
        <w:contextualSpacing/>
        <w:jc w:val="both"/>
        <w:rPr>
          <w:sz w:val="24"/>
          <w:szCs w:val="24"/>
        </w:rPr>
        <w:sectPr>
          <w:headerReference w:type="even" r:id="rId5"/>
          <w:headerReference w:type="default" r:id="rId6"/>
          <w:footerReference w:type="even" r:id="rId7"/>
          <w:footerReference w:type="default" r:id="rId8"/>
          <w:headerReference w:type="first" r:id="rId9"/>
          <w:footerReference w:type="first" r:id="rId10"/>
          <w:pgSz w:w="11906" w:h="16838" w:code="9"/>
          <w:pgMar w:top="1440" w:right="1440" w:bottom="1440" w:left="1440" w:header="706" w:footer="432" w:gutter="0"/>
          <w:paperSrc w:first="11" w:other="11"/>
          <w:pgNumType w:start="1"/>
          <w:cols w:space="720"/>
        </w:sectPr>
      </w:pPr>
      <w:r>
        <w:rPr>
          <w:sz w:val="24"/>
          <w:szCs w:val="24"/>
        </w:rPr>
        <w:fldChar w:fldCharType="end"/>
      </w:r>
    </w:p>
    <w:p w:rsidR="001943B5" w:rsidRPr="00973430" w:rsidP="001943B5" w14:paraId="534530CB" w14:textId="77777777">
      <w:pPr>
        <w:spacing w:line="360" w:lineRule="auto"/>
        <w:contextualSpacing/>
        <w:jc w:val="both"/>
        <w:rPr>
          <w:sz w:val="24"/>
          <w:szCs w:val="24"/>
        </w:rPr>
      </w:pPr>
    </w:p>
    <w:p w:rsidR="001943B5" w:rsidRPr="00973430" w:rsidP="002E7D02" w14:paraId="206DC65F" w14:textId="77777777">
      <w:pPr>
        <w:pStyle w:val="Heading1"/>
      </w:pPr>
      <w:bookmarkStart w:id="0" w:name="_Toc256000000"/>
      <w:r w:rsidRPr="00973430">
        <w:t>Introduction</w:t>
      </w:r>
      <w:bookmarkEnd w:id="0"/>
    </w:p>
    <w:p w:rsidR="002E7D02" w:rsidP="001943B5" w14:paraId="567A7A0E" w14:textId="77777777">
      <w:pPr>
        <w:spacing w:line="360" w:lineRule="auto"/>
        <w:ind w:left="720"/>
        <w:jc w:val="both"/>
        <w:rPr>
          <w:sz w:val="24"/>
          <w:szCs w:val="24"/>
        </w:rPr>
      </w:pPr>
      <w:r>
        <w:rPr>
          <w:sz w:val="24"/>
          <w:szCs w:val="24"/>
        </w:rPr>
        <w:t xml:space="preserve">Ruchazie Housing Association </w:t>
      </w:r>
      <w:r w:rsidRPr="00973430">
        <w:rPr>
          <w:sz w:val="24"/>
          <w:szCs w:val="24"/>
        </w:rPr>
        <w:t xml:space="preserve"> (hereinafter the “Association”) is committed to ensuring the secure and safe management of data held by the Association in relation to customers, staff and other individuals. </w:t>
      </w:r>
    </w:p>
    <w:p w:rsidR="002E7D02" w:rsidP="001943B5" w14:paraId="03E21A71" w14:textId="77777777">
      <w:pPr>
        <w:spacing w:line="360" w:lineRule="auto"/>
        <w:ind w:left="720"/>
        <w:jc w:val="both"/>
        <w:rPr>
          <w:sz w:val="24"/>
          <w:szCs w:val="24"/>
        </w:rPr>
      </w:pPr>
    </w:p>
    <w:p w:rsidR="002E7D02" w:rsidRPr="002E7D02" w:rsidP="002E7D02" w14:paraId="53BA3027" w14:textId="0688B38C">
      <w:pPr>
        <w:spacing w:line="360" w:lineRule="auto"/>
        <w:ind w:left="720"/>
        <w:jc w:val="both"/>
        <w:rPr>
          <w:sz w:val="24"/>
          <w:szCs w:val="24"/>
        </w:rPr>
      </w:pPr>
      <w:r>
        <w:rPr>
          <w:sz w:val="24"/>
          <w:szCs w:val="24"/>
        </w:rPr>
        <w:t xml:space="preserve">The Association </w:t>
      </w:r>
      <w:r w:rsidRPr="002E7D02">
        <w:rPr>
          <w:sz w:val="24"/>
          <w:szCs w:val="24"/>
        </w:rPr>
        <w:t xml:space="preserve">is a Data Controller registered with the Information Commissioner’s Office (Registration No: Z7471848).  </w:t>
      </w:r>
    </w:p>
    <w:p w:rsidR="002E7D02" w:rsidRPr="002E7D02" w:rsidP="002E7D02" w14:paraId="396D9DB4" w14:textId="0F745E8D">
      <w:pPr>
        <w:spacing w:line="360" w:lineRule="auto"/>
        <w:ind w:left="720"/>
        <w:jc w:val="both"/>
        <w:rPr>
          <w:sz w:val="24"/>
          <w:szCs w:val="24"/>
        </w:rPr>
      </w:pPr>
      <w:r>
        <w:rPr>
          <w:sz w:val="24"/>
          <w:szCs w:val="24"/>
        </w:rPr>
        <w:t xml:space="preserve">The Association </w:t>
      </w:r>
      <w:r w:rsidRPr="002E7D02">
        <w:rPr>
          <w:sz w:val="24"/>
          <w:szCs w:val="24"/>
        </w:rPr>
        <w:t>is committed to ensuring the lawful, fair and transparent management of personal data.  This policy sets out how we will do this.</w:t>
      </w:r>
    </w:p>
    <w:p w:rsidR="001943B5" w:rsidRPr="00973430" w:rsidP="001943B5" w14:paraId="2E5FF032" w14:textId="7E5BED82">
      <w:pPr>
        <w:spacing w:line="360" w:lineRule="auto"/>
        <w:ind w:left="720"/>
        <w:jc w:val="both"/>
        <w:rPr>
          <w:sz w:val="24"/>
          <w:szCs w:val="24"/>
        </w:rPr>
      </w:pPr>
      <w:r w:rsidRPr="00973430">
        <w:rPr>
          <w:sz w:val="24"/>
          <w:szCs w:val="24"/>
        </w:rPr>
        <w:t xml:space="preserve">The Association’s staff </w:t>
      </w:r>
      <w:r>
        <w:rPr>
          <w:sz w:val="24"/>
          <w:szCs w:val="24"/>
        </w:rPr>
        <w:t xml:space="preserve">members </w:t>
      </w:r>
      <w:r w:rsidRPr="00973430">
        <w:rPr>
          <w:sz w:val="24"/>
          <w:szCs w:val="24"/>
        </w:rPr>
        <w:t>have a responsibility to ensure compliance with the terms of this policy, and to manage individuals’ data in accordance with the procedures outlined in this policy and documentation referred to herein.</w:t>
      </w:r>
    </w:p>
    <w:p w:rsidR="001943B5" w:rsidRPr="00973430" w:rsidP="001943B5" w14:paraId="318E8528" w14:textId="77777777">
      <w:pPr>
        <w:spacing w:line="360" w:lineRule="auto"/>
        <w:ind w:left="720"/>
        <w:jc w:val="both"/>
        <w:rPr>
          <w:sz w:val="24"/>
          <w:szCs w:val="24"/>
        </w:rPr>
      </w:pPr>
    </w:p>
    <w:p w:rsidR="001943B5" w:rsidRPr="00973430" w:rsidP="001943B5" w14:paraId="439724F3" w14:textId="77777777">
      <w:pPr>
        <w:spacing w:line="360" w:lineRule="auto"/>
        <w:ind w:left="720"/>
        <w:jc w:val="both"/>
        <w:rPr>
          <w:sz w:val="24"/>
          <w:szCs w:val="24"/>
        </w:rPr>
      </w:pPr>
      <w:r w:rsidRPr="00973430">
        <w:rPr>
          <w:sz w:val="24"/>
          <w:szCs w:val="24"/>
        </w:rPr>
        <w:t>The Association needs to gather and use certain information about individuals.  These can include customers (tenants, factored owners etc</w:t>
      </w:r>
      <w:r>
        <w:rPr>
          <w:sz w:val="24"/>
          <w:szCs w:val="24"/>
        </w:rPr>
        <w:t>.</w:t>
      </w:r>
      <w:r w:rsidRPr="00973430">
        <w:rPr>
          <w:sz w:val="24"/>
          <w:szCs w:val="24"/>
        </w:rPr>
        <w:t>), employees and other individuals that the Association has a relationship with.  The Association manages a significant amount of data, from a variety of sources.  This data contains Personal Data and Sensitive Personal Data</w:t>
      </w:r>
      <w:r>
        <w:rPr>
          <w:sz w:val="24"/>
          <w:szCs w:val="24"/>
        </w:rPr>
        <w:t xml:space="preserve"> (known as Special Categories of Personal Data under the GDPR)</w:t>
      </w:r>
      <w:r w:rsidRPr="00973430">
        <w:rPr>
          <w:sz w:val="24"/>
          <w:szCs w:val="24"/>
        </w:rPr>
        <w:t>.</w:t>
      </w:r>
    </w:p>
    <w:p w:rsidR="001943B5" w:rsidRPr="00973430" w:rsidP="001943B5" w14:paraId="18715AD1" w14:textId="77777777">
      <w:pPr>
        <w:spacing w:line="360" w:lineRule="auto"/>
        <w:ind w:left="720"/>
        <w:jc w:val="both"/>
        <w:rPr>
          <w:sz w:val="24"/>
          <w:szCs w:val="24"/>
        </w:rPr>
      </w:pPr>
    </w:p>
    <w:p w:rsidR="001943B5" w:rsidRPr="00973430" w:rsidP="001943B5" w14:paraId="4FB5C3EA" w14:textId="77777777">
      <w:pPr>
        <w:spacing w:line="360" w:lineRule="auto"/>
        <w:ind w:left="720"/>
        <w:jc w:val="both"/>
        <w:rPr>
          <w:sz w:val="24"/>
          <w:szCs w:val="24"/>
        </w:rPr>
      </w:pPr>
      <w:r w:rsidRPr="00973430">
        <w:rPr>
          <w:sz w:val="24"/>
          <w:szCs w:val="24"/>
        </w:rPr>
        <w:t>This Policy sets out the Association’s duties in processing that data, and the purpose of this Policy is to set out the procedures for the management of such data.</w:t>
      </w:r>
    </w:p>
    <w:p w:rsidR="001943B5" w:rsidRPr="00973430" w:rsidP="001943B5" w14:paraId="0B29C67F" w14:textId="77777777">
      <w:pPr>
        <w:spacing w:line="360" w:lineRule="auto"/>
        <w:ind w:left="720"/>
        <w:jc w:val="both"/>
        <w:rPr>
          <w:sz w:val="24"/>
          <w:szCs w:val="24"/>
        </w:rPr>
      </w:pPr>
    </w:p>
    <w:p w:rsidR="001943B5" w:rsidRPr="00973430" w:rsidP="001943B5" w14:paraId="00AF9A7A" w14:textId="77777777">
      <w:pPr>
        <w:spacing w:line="360" w:lineRule="auto"/>
        <w:ind w:left="720"/>
        <w:jc w:val="both"/>
      </w:pPr>
    </w:p>
    <w:p w:rsidR="001943B5" w:rsidRPr="00973430" w:rsidP="002E7D02" w14:paraId="6BC5F968" w14:textId="77777777">
      <w:pPr>
        <w:pStyle w:val="Heading1"/>
      </w:pPr>
      <w:bookmarkStart w:id="1" w:name="_Toc256000001"/>
      <w:r w:rsidRPr="00973430">
        <w:t>L</w:t>
      </w:r>
      <w:r w:rsidR="001E49E2">
        <w:t>e</w:t>
      </w:r>
      <w:r w:rsidRPr="00973430">
        <w:t>gislation</w:t>
      </w:r>
      <w:bookmarkEnd w:id="1"/>
    </w:p>
    <w:p w:rsidR="001943B5" w:rsidRPr="00973430" w:rsidP="001943B5" w14:paraId="24FE08BD" w14:textId="77777777">
      <w:pPr>
        <w:spacing w:line="360" w:lineRule="auto"/>
        <w:ind w:left="720"/>
        <w:jc w:val="both"/>
        <w:rPr>
          <w:sz w:val="24"/>
          <w:szCs w:val="24"/>
        </w:rPr>
      </w:pPr>
      <w:r w:rsidRPr="00973430">
        <w:rPr>
          <w:sz w:val="24"/>
          <w:szCs w:val="24"/>
        </w:rPr>
        <w:t>It is a legal requirement that the Association process data correctly; the Association must collect, handle and store personal information in accordance with the relevant legislation.</w:t>
      </w:r>
    </w:p>
    <w:p w:rsidR="001943B5" w:rsidRPr="00973430" w:rsidP="001943B5" w14:paraId="40A206B6" w14:textId="77777777">
      <w:pPr>
        <w:spacing w:line="360" w:lineRule="auto"/>
        <w:ind w:left="720"/>
        <w:jc w:val="both"/>
        <w:rPr>
          <w:b/>
          <w:sz w:val="24"/>
          <w:szCs w:val="24"/>
        </w:rPr>
      </w:pPr>
    </w:p>
    <w:p w:rsidR="001943B5" w:rsidRPr="00973430" w:rsidP="001943B5" w14:paraId="22E85BF8" w14:textId="77777777">
      <w:pPr>
        <w:spacing w:line="360" w:lineRule="auto"/>
        <w:ind w:left="720"/>
        <w:jc w:val="both"/>
        <w:rPr>
          <w:b/>
          <w:sz w:val="24"/>
          <w:szCs w:val="24"/>
        </w:rPr>
      </w:pPr>
      <w:r w:rsidRPr="00973430">
        <w:rPr>
          <w:b/>
          <w:sz w:val="24"/>
          <w:szCs w:val="24"/>
        </w:rPr>
        <w:t>The relevant legislation in relation to the processing of data is:</w:t>
      </w:r>
    </w:p>
    <w:p w:rsidR="001943B5" w:rsidRPr="00973430" w:rsidP="001943B5" w14:paraId="471D097E" w14:textId="77777777">
      <w:pPr>
        <w:spacing w:line="360" w:lineRule="auto"/>
        <w:ind w:left="720"/>
        <w:jc w:val="both"/>
        <w:rPr>
          <w:b/>
          <w:sz w:val="24"/>
          <w:szCs w:val="24"/>
        </w:rPr>
      </w:pPr>
    </w:p>
    <w:p w:rsidR="002E7D02" w:rsidRPr="002E7D02" w:rsidP="000012B8" w14:paraId="1F903F0C" w14:textId="77777777">
      <w:pPr>
        <w:numPr>
          <w:ilvl w:val="0"/>
          <w:numId w:val="13"/>
        </w:numPr>
        <w:jc w:val="both"/>
        <w:rPr>
          <w:rFonts w:cs="Arial"/>
          <w:color w:val="000000"/>
          <w:sz w:val="24"/>
          <w:szCs w:val="24"/>
        </w:rPr>
      </w:pPr>
      <w:r w:rsidRPr="002E7D02">
        <w:rPr>
          <w:rFonts w:cs="Arial"/>
          <w:color w:val="000000"/>
          <w:sz w:val="24"/>
          <w:szCs w:val="24"/>
        </w:rPr>
        <w:t>UK General Data Protection Regulation.</w:t>
      </w:r>
    </w:p>
    <w:p w:rsidR="002E7D02" w:rsidRPr="002E7D02" w:rsidP="000012B8" w14:paraId="7BCF71E4" w14:textId="77777777">
      <w:pPr>
        <w:numPr>
          <w:ilvl w:val="0"/>
          <w:numId w:val="13"/>
        </w:numPr>
        <w:jc w:val="both"/>
        <w:rPr>
          <w:rFonts w:cs="Arial"/>
          <w:color w:val="000000"/>
          <w:sz w:val="24"/>
          <w:szCs w:val="24"/>
        </w:rPr>
      </w:pPr>
      <w:r w:rsidRPr="002E7D02">
        <w:rPr>
          <w:rFonts w:cs="Arial"/>
          <w:color w:val="000000"/>
          <w:sz w:val="24"/>
          <w:szCs w:val="24"/>
        </w:rPr>
        <w:t>UK Data Protection Act 2018 (DPA 2018).</w:t>
      </w:r>
    </w:p>
    <w:p w:rsidR="002E7D02" w:rsidP="000012B8" w14:paraId="6051436B" w14:textId="77777777">
      <w:pPr>
        <w:numPr>
          <w:ilvl w:val="0"/>
          <w:numId w:val="13"/>
        </w:numPr>
        <w:jc w:val="both"/>
        <w:rPr>
          <w:rFonts w:cs="Arial"/>
          <w:color w:val="000000"/>
          <w:sz w:val="24"/>
          <w:szCs w:val="24"/>
        </w:rPr>
      </w:pPr>
      <w:r w:rsidRPr="002E7D02">
        <w:rPr>
          <w:rFonts w:cs="Arial"/>
          <w:color w:val="000000"/>
          <w:sz w:val="24"/>
          <w:szCs w:val="24"/>
        </w:rPr>
        <w:t>Privacy and Electronic Communications Regulations 2003 (PECR).</w:t>
      </w:r>
    </w:p>
    <w:p w:rsidR="002E7D02" w:rsidRPr="002E7D02" w:rsidP="002E7D02" w14:paraId="0666B845" w14:textId="77777777">
      <w:pPr>
        <w:spacing w:line="360" w:lineRule="auto"/>
        <w:contextualSpacing/>
        <w:jc w:val="both"/>
        <w:rPr>
          <w:sz w:val="24"/>
          <w:szCs w:val="24"/>
        </w:rPr>
      </w:pPr>
    </w:p>
    <w:p w:rsidR="002E7D02" w:rsidRPr="002E7D02" w:rsidP="002E7D02" w14:paraId="4DC7F2AC" w14:textId="154A0228">
      <w:pPr>
        <w:pStyle w:val="Heading1"/>
      </w:pPr>
      <w:bookmarkStart w:id="2" w:name="_Toc256000002"/>
      <w:r w:rsidRPr="002E7D02">
        <w:t>Compliance</w:t>
      </w:r>
      <w:bookmarkEnd w:id="2"/>
      <w:r w:rsidRPr="002E7D02">
        <w:t xml:space="preserve"> </w:t>
      </w:r>
    </w:p>
    <w:p w:rsidR="002E7D02" w:rsidRPr="002E7D02" w:rsidP="002E7D02" w14:paraId="0AB57EF0" w14:textId="77777777">
      <w:pPr>
        <w:jc w:val="both"/>
        <w:rPr>
          <w:sz w:val="24"/>
          <w:szCs w:val="24"/>
        </w:rPr>
      </w:pPr>
    </w:p>
    <w:p w:rsidR="002E7D02" w:rsidRPr="002E7D02" w:rsidP="002E7D02" w14:paraId="6FD3777B" w14:textId="2AA54B2E">
      <w:pPr>
        <w:jc w:val="both"/>
        <w:rPr>
          <w:sz w:val="24"/>
          <w:szCs w:val="24"/>
        </w:rPr>
      </w:pPr>
      <w:r>
        <w:rPr>
          <w:sz w:val="24"/>
          <w:szCs w:val="24"/>
        </w:rPr>
        <w:t xml:space="preserve">Ruchazie Housing Association </w:t>
      </w:r>
      <w:r w:rsidRPr="002E7D02">
        <w:rPr>
          <w:sz w:val="24"/>
          <w:szCs w:val="24"/>
        </w:rPr>
        <w:t>will comply with its legal obligations and the data protection principles by ensuring that personal data is:</w:t>
      </w:r>
    </w:p>
    <w:p w:rsidR="002E7D02" w:rsidRPr="002E7D02" w:rsidP="002E7D02" w14:paraId="1E9B8FAA" w14:textId="77777777">
      <w:pPr>
        <w:jc w:val="both"/>
        <w:rPr>
          <w:sz w:val="24"/>
          <w:szCs w:val="24"/>
        </w:rPr>
      </w:pPr>
    </w:p>
    <w:p w:rsidR="002E7D02" w:rsidRPr="002E7D02" w:rsidP="000012B8" w14:paraId="50E3287A" w14:textId="77777777">
      <w:pPr>
        <w:numPr>
          <w:ilvl w:val="0"/>
          <w:numId w:val="18"/>
        </w:numPr>
        <w:jc w:val="both"/>
        <w:rPr>
          <w:sz w:val="24"/>
          <w:szCs w:val="24"/>
        </w:rPr>
      </w:pPr>
      <w:r w:rsidRPr="002E7D02">
        <w:rPr>
          <w:sz w:val="24"/>
          <w:szCs w:val="24"/>
        </w:rPr>
        <w:t>processed lawfully, fairly and in a transparent manner in relation to individuals. Individuals will be advised on the reasons for processing via a Privacy Notice. Where data subjects’ consent is required to process personal data, consent will be requested in a manner that is clearly distinguishable from other matters, in an intelligible and easily accessible form, using clear and plain language. Data Subjects will be advised of their right to withdraw consent and the process for Data Subjects to withdraw consent will be simple.</w:t>
      </w:r>
    </w:p>
    <w:p w:rsidR="002E7D02" w:rsidRPr="002E7D02" w:rsidP="002E7D02" w14:paraId="3594A13E" w14:textId="77777777">
      <w:pPr>
        <w:jc w:val="both"/>
        <w:rPr>
          <w:sz w:val="24"/>
          <w:szCs w:val="24"/>
        </w:rPr>
      </w:pPr>
    </w:p>
    <w:p w:rsidR="002E7D02" w:rsidRPr="002E7D02" w:rsidP="000012B8" w14:paraId="21FAA7F5" w14:textId="566FB580">
      <w:pPr>
        <w:numPr>
          <w:ilvl w:val="0"/>
          <w:numId w:val="18"/>
        </w:numPr>
        <w:jc w:val="both"/>
        <w:rPr>
          <w:sz w:val="24"/>
          <w:szCs w:val="24"/>
        </w:rPr>
      </w:pPr>
      <w:r w:rsidRPr="002E7D02">
        <w:rPr>
          <w:sz w:val="24"/>
          <w:szCs w:val="24"/>
        </w:rPr>
        <w:t xml:space="preserve">collected for specified, explicit and legitimate purposes and not further processed in a manner that is incompatible with those purposes. Personal data will only be used for the original purpose it was collected for and these purposes will be made clear to the data subject. If </w:t>
      </w:r>
      <w:r>
        <w:rPr>
          <w:sz w:val="24"/>
          <w:szCs w:val="24"/>
        </w:rPr>
        <w:t xml:space="preserve">Ruchazie Housing Association </w:t>
      </w:r>
      <w:r w:rsidRPr="002E7D02">
        <w:rPr>
          <w:sz w:val="24"/>
          <w:szCs w:val="24"/>
        </w:rPr>
        <w:t>wishes to use personal data for a different purpose, for example for research, the data subject will be notified prior to processing.</w:t>
      </w:r>
    </w:p>
    <w:p w:rsidR="002E7D02" w:rsidRPr="002E7D02" w:rsidP="002E7D02" w14:paraId="280A3314" w14:textId="77777777">
      <w:pPr>
        <w:jc w:val="both"/>
        <w:rPr>
          <w:sz w:val="24"/>
          <w:szCs w:val="24"/>
        </w:rPr>
      </w:pPr>
    </w:p>
    <w:p w:rsidR="002E7D02" w:rsidRPr="002E7D02" w:rsidP="000012B8" w14:paraId="2A564E46" w14:textId="19BE4F35">
      <w:pPr>
        <w:numPr>
          <w:ilvl w:val="0"/>
          <w:numId w:val="14"/>
        </w:numPr>
        <w:jc w:val="both"/>
        <w:rPr>
          <w:sz w:val="24"/>
          <w:szCs w:val="24"/>
        </w:rPr>
      </w:pPr>
      <w:r w:rsidRPr="002E7D02">
        <w:rPr>
          <w:sz w:val="24"/>
          <w:szCs w:val="24"/>
        </w:rPr>
        <w:t xml:space="preserve">adequate, relevant and limited to what is necessary in relation to the purposes for which they are processed. </w:t>
      </w:r>
      <w:r>
        <w:rPr>
          <w:sz w:val="24"/>
          <w:szCs w:val="24"/>
        </w:rPr>
        <w:t xml:space="preserve">Ruchazie Housing Association </w:t>
      </w:r>
      <w:r w:rsidRPr="002E7D02">
        <w:rPr>
          <w:sz w:val="24"/>
          <w:szCs w:val="24"/>
        </w:rPr>
        <w:t>will only collect the minimum personal data required for the purpose. Any personal data deemed to be excessive or no longer required for the purposes collected for will be securely deleted in accordance with [name of organisation]’s Retention Policy. Any personal information that is optional for individuals to provide will be clearly marked as optional on any forms.</w:t>
      </w:r>
    </w:p>
    <w:p w:rsidR="002E7D02" w:rsidRPr="002E7D02" w:rsidP="002E7D02" w14:paraId="4C059C42" w14:textId="77777777">
      <w:pPr>
        <w:jc w:val="both"/>
        <w:rPr>
          <w:sz w:val="24"/>
          <w:szCs w:val="24"/>
        </w:rPr>
      </w:pPr>
    </w:p>
    <w:p w:rsidR="002E7D02" w:rsidRPr="002E7D02" w:rsidP="000012B8" w14:paraId="0E487F19" w14:textId="2E657D11">
      <w:pPr>
        <w:numPr>
          <w:ilvl w:val="0"/>
          <w:numId w:val="14"/>
        </w:numPr>
        <w:jc w:val="both"/>
        <w:rPr>
          <w:sz w:val="24"/>
          <w:szCs w:val="24"/>
        </w:rPr>
      </w:pPr>
      <w:r w:rsidRPr="002E7D02">
        <w:rPr>
          <w:sz w:val="24"/>
          <w:szCs w:val="24"/>
        </w:rPr>
        <w:t xml:space="preserve">accurate and, where necessary, kept up to date; every reasonable step must be taken to ensure that inaccurate personal data, having regard to the purposes for which they are processed, are erased or rectified without delay. </w:t>
      </w:r>
      <w:r>
        <w:rPr>
          <w:sz w:val="24"/>
          <w:szCs w:val="24"/>
        </w:rPr>
        <w:t xml:space="preserve">Ruchazie Housing Association </w:t>
      </w:r>
      <w:r w:rsidRPr="002E7D02">
        <w:rPr>
          <w:sz w:val="24"/>
          <w:szCs w:val="24"/>
        </w:rPr>
        <w:t>will take reasonable steps to keep personal data up to date, where relevant, to ensure accuracy. Any personal data found to be inaccurate will be updated promptly. Any inaccurate personal data that has been shared with third parties will also be updated.</w:t>
      </w:r>
    </w:p>
    <w:p w:rsidR="002E7D02" w:rsidRPr="002E7D02" w:rsidP="002E7D02" w14:paraId="0E40A3DF" w14:textId="77777777">
      <w:pPr>
        <w:jc w:val="both"/>
        <w:rPr>
          <w:sz w:val="24"/>
          <w:szCs w:val="24"/>
        </w:rPr>
      </w:pPr>
    </w:p>
    <w:p w:rsidR="002E7D02" w:rsidRPr="002E7D02" w:rsidP="000012B8" w14:paraId="60DB67EB" w14:textId="53F8BE32">
      <w:pPr>
        <w:numPr>
          <w:ilvl w:val="0"/>
          <w:numId w:val="14"/>
        </w:numPr>
        <w:jc w:val="both"/>
        <w:rPr>
          <w:sz w:val="24"/>
          <w:szCs w:val="24"/>
        </w:rPr>
      </w:pPr>
      <w:r w:rsidRPr="002E7D02">
        <w:rPr>
          <w:sz w:val="24"/>
          <w:szCs w:val="24"/>
        </w:rPr>
        <w:t xml:space="preserve">kept in a form which permits identification of data subjects for no longer than is necessary for the purposes for which the personal data are processed. </w:t>
      </w:r>
      <w:r>
        <w:rPr>
          <w:sz w:val="24"/>
          <w:szCs w:val="24"/>
        </w:rPr>
        <w:t xml:space="preserve">Ruchazie Housing Association </w:t>
      </w:r>
      <w:r w:rsidRPr="002E7D02">
        <w:rPr>
          <w:sz w:val="24"/>
          <w:szCs w:val="24"/>
        </w:rPr>
        <w:t>will hold data for the minimum time necessary to fulfil its purpose. Timescales for retention of personal data will be stated in a Retention Schedule. Data will be disposed of in a responsible manner ensuring confidentiality and security.</w:t>
      </w:r>
    </w:p>
    <w:p w:rsidR="002E7D02" w:rsidRPr="002E7D02" w:rsidP="002E7D02" w14:paraId="5C2E8E44" w14:textId="77777777">
      <w:pPr>
        <w:jc w:val="both"/>
        <w:rPr>
          <w:sz w:val="24"/>
          <w:szCs w:val="24"/>
        </w:rPr>
      </w:pPr>
    </w:p>
    <w:p w:rsidR="002E7D02" w:rsidRPr="002E7D02" w:rsidP="000012B8" w14:paraId="0114B620" w14:textId="05CADFCF">
      <w:pPr>
        <w:numPr>
          <w:ilvl w:val="0"/>
          <w:numId w:val="14"/>
        </w:numPr>
        <w:jc w:val="both"/>
        <w:rPr>
          <w:sz w:val="24"/>
          <w:szCs w:val="24"/>
        </w:rPr>
      </w:pPr>
      <w:r w:rsidRPr="002E7D02">
        <w:rPr>
          <w:sz w:val="24"/>
          <w:szCs w:val="24"/>
        </w:rPr>
        <w:t xml:space="preserve">processed in a manner that ensures appropriate security of the personal data, including protection against unauthorised or unlawful processing and against accidental loss, destruction or damage, using appropriate technical or organisational measures. </w:t>
      </w:r>
      <w:r>
        <w:rPr>
          <w:sz w:val="24"/>
          <w:szCs w:val="24"/>
        </w:rPr>
        <w:t xml:space="preserve">Ruchazie Housing Association </w:t>
      </w:r>
      <w:r w:rsidRPr="002E7D02">
        <w:rPr>
          <w:sz w:val="24"/>
          <w:szCs w:val="24"/>
        </w:rPr>
        <w:t xml:space="preserve">will implement appropriate security measures to protect personal data. Personal data will only be accessible to those authorised to access personal data on a ‘need to know’ basis. </w:t>
      </w:r>
      <w:r>
        <w:rPr>
          <w:sz w:val="24"/>
          <w:szCs w:val="24"/>
        </w:rPr>
        <w:t xml:space="preserve">Ruchazie Housing Association </w:t>
      </w:r>
      <w:r w:rsidRPr="002E7D02">
        <w:rPr>
          <w:sz w:val="24"/>
          <w:szCs w:val="24"/>
        </w:rPr>
        <w:t xml:space="preserve">personnel will keep data secure by taking sensible precautions and following the relevant </w:t>
      </w:r>
      <w:r>
        <w:rPr>
          <w:sz w:val="24"/>
          <w:szCs w:val="24"/>
        </w:rPr>
        <w:t xml:space="preserve">Ruchazie Housing Association </w:t>
      </w:r>
      <w:r w:rsidRPr="002E7D02">
        <w:rPr>
          <w:sz w:val="24"/>
          <w:szCs w:val="24"/>
        </w:rPr>
        <w:t>policies and procedures relating to data protection.</w:t>
      </w:r>
    </w:p>
    <w:p w:rsidR="002E7D02" w:rsidRPr="002E7D02" w:rsidP="002E7D02" w14:paraId="129BA0ED" w14:textId="77777777">
      <w:pPr>
        <w:jc w:val="both"/>
        <w:rPr>
          <w:sz w:val="24"/>
          <w:szCs w:val="24"/>
        </w:rPr>
      </w:pPr>
    </w:p>
    <w:p w:rsidR="002E7D02" w:rsidRPr="002E7D02" w:rsidP="002E7D02" w14:paraId="77795985" w14:textId="2ABAB3BB">
      <w:pPr>
        <w:jc w:val="both"/>
        <w:rPr>
          <w:sz w:val="24"/>
          <w:szCs w:val="24"/>
        </w:rPr>
      </w:pPr>
      <w:r w:rsidRPr="002E7D02">
        <w:rPr>
          <w:sz w:val="24"/>
          <w:szCs w:val="24"/>
        </w:rPr>
        <w:t xml:space="preserve">In addition, </w:t>
      </w:r>
      <w:r>
        <w:rPr>
          <w:sz w:val="24"/>
          <w:szCs w:val="24"/>
        </w:rPr>
        <w:t xml:space="preserve">Ruchazie Housing Association </w:t>
      </w:r>
      <w:r w:rsidRPr="002E7D02">
        <w:rPr>
          <w:sz w:val="24"/>
          <w:szCs w:val="24"/>
        </w:rPr>
        <w:t>will comply with the ‘Accountability Principle’ that states that organisations are to be responsible for, and be able to demonstrate, compliance with the above principles.</w:t>
      </w:r>
    </w:p>
    <w:p w:rsidR="002E7D02" w:rsidRPr="002E7D02" w:rsidP="002E7D02" w14:paraId="056C3C38" w14:textId="77777777">
      <w:pPr>
        <w:jc w:val="both"/>
        <w:rPr>
          <w:sz w:val="24"/>
          <w:szCs w:val="24"/>
        </w:rPr>
      </w:pPr>
    </w:p>
    <w:p w:rsidR="002E7D02" w:rsidRPr="002E7D02" w:rsidP="002E7D02" w14:paraId="244ED3A3" w14:textId="794B651F">
      <w:pPr>
        <w:pStyle w:val="Heading1"/>
      </w:pPr>
      <w:bookmarkStart w:id="3" w:name="_Toc256000003"/>
      <w:r w:rsidRPr="002E7D02">
        <w:t>Data Sharing</w:t>
      </w:r>
      <w:bookmarkEnd w:id="3"/>
    </w:p>
    <w:p w:rsidR="002E7D02" w:rsidRPr="002E7D02" w:rsidP="002E7D02" w14:paraId="7F19DCE4" w14:textId="77777777">
      <w:pPr>
        <w:jc w:val="both"/>
        <w:rPr>
          <w:sz w:val="24"/>
          <w:szCs w:val="24"/>
        </w:rPr>
      </w:pPr>
    </w:p>
    <w:p w:rsidR="002E7D02" w:rsidRPr="002E7D02" w:rsidP="002E7D02" w14:paraId="1E3C1E60" w14:textId="74F0043E">
      <w:pPr>
        <w:jc w:val="both"/>
        <w:rPr>
          <w:sz w:val="24"/>
          <w:szCs w:val="24"/>
        </w:rPr>
      </w:pPr>
      <w:r w:rsidRPr="002E7D02">
        <w:rPr>
          <w:sz w:val="24"/>
          <w:szCs w:val="24"/>
        </w:rPr>
        <w:t xml:space="preserve">In certain circumstances </w:t>
      </w:r>
      <w:r>
        <w:rPr>
          <w:sz w:val="24"/>
          <w:szCs w:val="24"/>
        </w:rPr>
        <w:t xml:space="preserve">Ruchazie Housing Association </w:t>
      </w:r>
      <w:r w:rsidRPr="002E7D02">
        <w:rPr>
          <w:sz w:val="24"/>
          <w:szCs w:val="24"/>
        </w:rPr>
        <w:t>may share personal data with third parties. This may be part of a regular exchange of data, one-off disclosures or in unexpected or emergency situations. In all cases, appropriate security measures will be used when sharing any personal data.</w:t>
      </w:r>
    </w:p>
    <w:p w:rsidR="002E7D02" w:rsidRPr="002E7D02" w:rsidP="002E7D02" w14:paraId="036612FC" w14:textId="77777777">
      <w:pPr>
        <w:jc w:val="both"/>
        <w:rPr>
          <w:sz w:val="24"/>
          <w:szCs w:val="24"/>
        </w:rPr>
      </w:pPr>
    </w:p>
    <w:p w:rsidR="002E7D02" w:rsidRPr="002E7D02" w:rsidP="002E7D02" w14:paraId="7DF2F34F" w14:textId="77777777">
      <w:pPr>
        <w:jc w:val="both"/>
        <w:rPr>
          <w:sz w:val="24"/>
          <w:szCs w:val="24"/>
        </w:rPr>
      </w:pPr>
      <w:r w:rsidRPr="002E7D02">
        <w:rPr>
          <w:sz w:val="24"/>
          <w:szCs w:val="24"/>
        </w:rPr>
        <w:t>Where data is shared regularly, a contract or data sharing agreement will be put in place to establish what data will be shared and the agreed purpose.</w:t>
      </w:r>
    </w:p>
    <w:p w:rsidR="002E7D02" w:rsidRPr="002E7D02" w:rsidP="002E7D02" w14:paraId="6C6D0C84" w14:textId="77777777">
      <w:pPr>
        <w:jc w:val="both"/>
        <w:rPr>
          <w:sz w:val="24"/>
          <w:szCs w:val="24"/>
        </w:rPr>
      </w:pPr>
    </w:p>
    <w:p w:rsidR="002E7D02" w:rsidRPr="002E7D02" w:rsidP="002E7D02" w14:paraId="2E8616AB" w14:textId="40DE34BB">
      <w:pPr>
        <w:jc w:val="both"/>
        <w:rPr>
          <w:sz w:val="24"/>
          <w:szCs w:val="24"/>
        </w:rPr>
      </w:pPr>
      <w:r w:rsidRPr="002E7D02">
        <w:rPr>
          <w:sz w:val="24"/>
          <w:szCs w:val="24"/>
        </w:rPr>
        <w:t xml:space="preserve">Prior to sharing personal data, </w:t>
      </w:r>
      <w:r>
        <w:rPr>
          <w:sz w:val="24"/>
          <w:szCs w:val="24"/>
        </w:rPr>
        <w:t xml:space="preserve">Ruchazie Housing Association </w:t>
      </w:r>
      <w:r w:rsidRPr="002E7D02">
        <w:rPr>
          <w:sz w:val="24"/>
          <w:szCs w:val="24"/>
        </w:rPr>
        <w:t>will consider any legal implications of doing so.</w:t>
      </w:r>
    </w:p>
    <w:p w:rsidR="002E7D02" w:rsidRPr="002E7D02" w:rsidP="002E7D02" w14:paraId="69207B8E" w14:textId="77777777">
      <w:pPr>
        <w:jc w:val="both"/>
        <w:rPr>
          <w:sz w:val="24"/>
          <w:szCs w:val="24"/>
        </w:rPr>
      </w:pPr>
    </w:p>
    <w:p w:rsidR="002E7D02" w:rsidRPr="002E7D02" w:rsidP="002E7D02" w14:paraId="1E30E3D5" w14:textId="77777777">
      <w:pPr>
        <w:jc w:val="both"/>
        <w:rPr>
          <w:sz w:val="24"/>
          <w:szCs w:val="24"/>
        </w:rPr>
      </w:pPr>
      <w:r w:rsidRPr="002E7D02">
        <w:rPr>
          <w:sz w:val="24"/>
          <w:szCs w:val="24"/>
        </w:rPr>
        <w:t>Data Subjects will be advised of data sharing via the relevant the Privacy Notice.</w:t>
      </w:r>
    </w:p>
    <w:p w:rsidR="002E7D02" w:rsidRPr="002E7D02" w:rsidP="002E7D02" w14:paraId="54A135C6" w14:textId="77777777">
      <w:pPr>
        <w:jc w:val="both"/>
        <w:rPr>
          <w:sz w:val="24"/>
          <w:szCs w:val="24"/>
        </w:rPr>
      </w:pPr>
    </w:p>
    <w:p w:rsidR="002E7D02" w:rsidRPr="002E7D02" w:rsidP="002E7D02" w14:paraId="4798CD23" w14:textId="318B3729">
      <w:pPr>
        <w:pStyle w:val="Heading1"/>
      </w:pPr>
      <w:bookmarkStart w:id="4" w:name="_Toc256000004"/>
      <w:r w:rsidRPr="002E7D02">
        <w:t>Data Processors</w:t>
      </w:r>
      <w:bookmarkEnd w:id="4"/>
    </w:p>
    <w:p w:rsidR="002E7D02" w:rsidRPr="002E7D02" w:rsidP="002E7D02" w14:paraId="4C029A3F" w14:textId="77777777">
      <w:pPr>
        <w:jc w:val="both"/>
        <w:rPr>
          <w:sz w:val="24"/>
          <w:szCs w:val="24"/>
        </w:rPr>
      </w:pPr>
    </w:p>
    <w:p w:rsidR="002E7D02" w:rsidRPr="002E7D02" w:rsidP="002E7D02" w14:paraId="1AE43742" w14:textId="5117F32E">
      <w:pPr>
        <w:jc w:val="both"/>
        <w:rPr>
          <w:sz w:val="24"/>
          <w:szCs w:val="24"/>
        </w:rPr>
      </w:pPr>
      <w:r w:rsidRPr="002E7D02">
        <w:rPr>
          <w:sz w:val="24"/>
          <w:szCs w:val="24"/>
        </w:rPr>
        <w:t xml:space="preserve">Where </w:t>
      </w:r>
      <w:r>
        <w:rPr>
          <w:sz w:val="24"/>
          <w:szCs w:val="24"/>
        </w:rPr>
        <w:t xml:space="preserve">Ruchazie Housing Association </w:t>
      </w:r>
      <w:r w:rsidRPr="002E7D02">
        <w:rPr>
          <w:sz w:val="24"/>
          <w:szCs w:val="24"/>
        </w:rPr>
        <w:t>engages Data Processors to process personal data on its behalf, it will ensure that:</w:t>
      </w:r>
    </w:p>
    <w:p w:rsidR="002E7D02" w:rsidRPr="002E7D02" w:rsidP="002E7D02" w14:paraId="4028A6AF" w14:textId="77777777">
      <w:pPr>
        <w:jc w:val="both"/>
        <w:rPr>
          <w:sz w:val="24"/>
          <w:szCs w:val="24"/>
        </w:rPr>
      </w:pPr>
    </w:p>
    <w:p w:rsidR="002E7D02" w:rsidRPr="002E7D02" w:rsidP="000012B8" w14:paraId="728F5AE4" w14:textId="77777777">
      <w:pPr>
        <w:numPr>
          <w:ilvl w:val="0"/>
          <w:numId w:val="17"/>
        </w:numPr>
        <w:jc w:val="both"/>
        <w:rPr>
          <w:sz w:val="24"/>
          <w:szCs w:val="24"/>
        </w:rPr>
      </w:pPr>
      <w:r w:rsidRPr="002E7D02">
        <w:rPr>
          <w:sz w:val="24"/>
          <w:szCs w:val="24"/>
        </w:rPr>
        <w:t>Data processors have appropriate organisational and technical security measures in place.</w:t>
      </w:r>
    </w:p>
    <w:p w:rsidR="002E7D02" w:rsidRPr="002E7D02" w:rsidP="000012B8" w14:paraId="009EDC6F" w14:textId="37BC714A">
      <w:pPr>
        <w:numPr>
          <w:ilvl w:val="0"/>
          <w:numId w:val="17"/>
        </w:numPr>
        <w:jc w:val="both"/>
        <w:rPr>
          <w:sz w:val="24"/>
          <w:szCs w:val="24"/>
        </w:rPr>
      </w:pPr>
      <w:r w:rsidRPr="002E7D02">
        <w:rPr>
          <w:sz w:val="24"/>
          <w:szCs w:val="24"/>
        </w:rPr>
        <w:t xml:space="preserve">No sub-processors are used without prior written consent from </w:t>
      </w:r>
      <w:r>
        <w:rPr>
          <w:sz w:val="24"/>
          <w:szCs w:val="24"/>
        </w:rPr>
        <w:t xml:space="preserve">Ruchazie Housing Association. </w:t>
      </w:r>
    </w:p>
    <w:p w:rsidR="002E7D02" w:rsidRPr="002E7D02" w:rsidP="000012B8" w14:paraId="697B4EAF" w14:textId="77777777">
      <w:pPr>
        <w:numPr>
          <w:ilvl w:val="0"/>
          <w:numId w:val="17"/>
        </w:numPr>
        <w:jc w:val="both"/>
        <w:rPr>
          <w:sz w:val="24"/>
          <w:szCs w:val="24"/>
        </w:rPr>
      </w:pPr>
      <w:r w:rsidRPr="002E7D02">
        <w:rPr>
          <w:sz w:val="24"/>
          <w:szCs w:val="24"/>
        </w:rPr>
        <w:t>An appropriate contract or agreement is in place detailing the obligations and requirements placed upon the data processor.</w:t>
      </w:r>
    </w:p>
    <w:p w:rsidR="002E7D02" w:rsidRPr="002E7D02" w:rsidP="002E7D02" w14:paraId="3A8690E7" w14:textId="77777777">
      <w:pPr>
        <w:jc w:val="both"/>
        <w:rPr>
          <w:sz w:val="24"/>
          <w:szCs w:val="24"/>
        </w:rPr>
      </w:pPr>
    </w:p>
    <w:p w:rsidR="002E7D02" w:rsidRPr="002E7D02" w:rsidP="000012B8" w14:paraId="5771C07D" w14:textId="41DACB5D">
      <w:pPr>
        <w:pStyle w:val="ListParagraph"/>
        <w:numPr>
          <w:ilvl w:val="0"/>
          <w:numId w:val="1"/>
        </w:numPr>
        <w:jc w:val="both"/>
        <w:rPr>
          <w:b/>
          <w:bCs/>
          <w:sz w:val="24"/>
          <w:szCs w:val="24"/>
        </w:rPr>
      </w:pPr>
      <w:r w:rsidRPr="002E7D02">
        <w:rPr>
          <w:b/>
          <w:bCs/>
          <w:sz w:val="24"/>
          <w:szCs w:val="24"/>
        </w:rPr>
        <w:t>Security Incident &amp; Breach Management</w:t>
      </w:r>
    </w:p>
    <w:p w:rsidR="002E7D02" w:rsidRPr="002E7D02" w:rsidP="002E7D02" w14:paraId="41F25BB1" w14:textId="77777777">
      <w:pPr>
        <w:jc w:val="both"/>
        <w:rPr>
          <w:sz w:val="24"/>
          <w:szCs w:val="24"/>
        </w:rPr>
      </w:pPr>
    </w:p>
    <w:p w:rsidR="002E7D02" w:rsidRPr="002E7D02" w:rsidP="002E7D02" w14:paraId="09B47ECE" w14:textId="059A30B4">
      <w:pPr>
        <w:jc w:val="both"/>
        <w:rPr>
          <w:sz w:val="24"/>
          <w:szCs w:val="24"/>
        </w:rPr>
      </w:pPr>
      <w:r w:rsidRPr="002E7D02">
        <w:rPr>
          <w:sz w:val="24"/>
          <w:szCs w:val="24"/>
        </w:rPr>
        <w:t xml:space="preserve">Occasionally </w:t>
      </w:r>
      <w:r>
        <w:rPr>
          <w:sz w:val="24"/>
          <w:szCs w:val="24"/>
        </w:rPr>
        <w:t xml:space="preserve">Ruchazie Housing Association </w:t>
      </w:r>
      <w:r w:rsidRPr="002E7D02">
        <w:rPr>
          <w:sz w:val="24"/>
          <w:szCs w:val="24"/>
        </w:rPr>
        <w:t>may experience a data security incident or personal data breach; this could be if personal data is:</w:t>
      </w:r>
    </w:p>
    <w:p w:rsidR="002E7D02" w:rsidRPr="002E7D02" w:rsidP="002E7D02" w14:paraId="6C714EB8" w14:textId="77777777">
      <w:pPr>
        <w:jc w:val="both"/>
        <w:rPr>
          <w:sz w:val="24"/>
          <w:szCs w:val="24"/>
        </w:rPr>
      </w:pPr>
    </w:p>
    <w:p w:rsidR="002E7D02" w:rsidRPr="002E7D02" w:rsidP="000012B8" w14:paraId="51E5D74A" w14:textId="77777777">
      <w:pPr>
        <w:numPr>
          <w:ilvl w:val="0"/>
          <w:numId w:val="15"/>
        </w:numPr>
        <w:jc w:val="both"/>
        <w:rPr>
          <w:sz w:val="24"/>
          <w:szCs w:val="24"/>
        </w:rPr>
      </w:pPr>
      <w:r w:rsidRPr="002E7D02">
        <w:rPr>
          <w:sz w:val="24"/>
          <w:szCs w:val="24"/>
        </w:rPr>
        <w:t>Lost: for example, misplacing documents or equipment that contain personal data through human error; via fire, flood or other damage to premises where data is stored.</w:t>
      </w:r>
    </w:p>
    <w:p w:rsidR="002E7D02" w:rsidRPr="002E7D02" w:rsidP="000012B8" w14:paraId="798101D4" w14:textId="77777777">
      <w:pPr>
        <w:numPr>
          <w:ilvl w:val="0"/>
          <w:numId w:val="15"/>
        </w:numPr>
        <w:jc w:val="both"/>
        <w:rPr>
          <w:sz w:val="24"/>
          <w:szCs w:val="24"/>
        </w:rPr>
      </w:pPr>
      <w:r w:rsidRPr="002E7D02">
        <w:rPr>
          <w:sz w:val="24"/>
          <w:szCs w:val="24"/>
        </w:rPr>
        <w:t>Stolen: theft or as a result of a targeted attack on the IT network (cyber-attack).</w:t>
      </w:r>
    </w:p>
    <w:p w:rsidR="002E7D02" w:rsidRPr="002E7D02" w:rsidP="000012B8" w14:paraId="65301AF3" w14:textId="77777777">
      <w:pPr>
        <w:numPr>
          <w:ilvl w:val="0"/>
          <w:numId w:val="15"/>
        </w:numPr>
        <w:jc w:val="both"/>
        <w:rPr>
          <w:sz w:val="24"/>
          <w:szCs w:val="24"/>
        </w:rPr>
      </w:pPr>
      <w:r w:rsidRPr="002E7D02">
        <w:rPr>
          <w:sz w:val="24"/>
          <w:szCs w:val="24"/>
        </w:rPr>
        <w:t>Accidently disclosed to an unauthorised individual: for example, email or letter sent to the wrong address.</w:t>
      </w:r>
    </w:p>
    <w:p w:rsidR="002E7D02" w:rsidRPr="002E7D02" w:rsidP="000012B8" w14:paraId="0186BCB7" w14:textId="77777777">
      <w:pPr>
        <w:numPr>
          <w:ilvl w:val="0"/>
          <w:numId w:val="15"/>
        </w:numPr>
        <w:jc w:val="both"/>
        <w:rPr>
          <w:sz w:val="24"/>
          <w:szCs w:val="24"/>
        </w:rPr>
      </w:pPr>
      <w:r w:rsidRPr="002E7D02">
        <w:rPr>
          <w:sz w:val="24"/>
          <w:szCs w:val="24"/>
        </w:rPr>
        <w:t>Inappropriately accessed or used.</w:t>
      </w:r>
    </w:p>
    <w:p w:rsidR="002E7D02" w:rsidRPr="002E7D02" w:rsidP="002E7D02" w14:paraId="29026331" w14:textId="77777777">
      <w:pPr>
        <w:jc w:val="both"/>
        <w:rPr>
          <w:sz w:val="24"/>
          <w:szCs w:val="24"/>
        </w:rPr>
      </w:pPr>
    </w:p>
    <w:p w:rsidR="002E7D02" w:rsidRPr="002E7D02" w:rsidP="002E7D02" w14:paraId="5BA416CF" w14:textId="77777777">
      <w:pPr>
        <w:jc w:val="both"/>
        <w:rPr>
          <w:sz w:val="24"/>
          <w:szCs w:val="24"/>
        </w:rPr>
      </w:pPr>
      <w:r w:rsidRPr="002E7D02">
        <w:rPr>
          <w:sz w:val="24"/>
          <w:szCs w:val="24"/>
        </w:rPr>
        <w:t xml:space="preserve">All security incidents or personal data breaches will be reported to and managed by the Data Protection Lead who will be advised and assisted by the DPO. </w:t>
      </w:r>
    </w:p>
    <w:p w:rsidR="002E7D02" w:rsidRPr="002E7D02" w:rsidP="002E7D02" w14:paraId="410BD788" w14:textId="77777777">
      <w:pPr>
        <w:jc w:val="both"/>
        <w:rPr>
          <w:sz w:val="24"/>
          <w:szCs w:val="24"/>
        </w:rPr>
      </w:pPr>
    </w:p>
    <w:p w:rsidR="002E7D02" w:rsidRPr="002E7D02" w:rsidP="002E7D02" w14:paraId="7E5853C5" w14:textId="77777777">
      <w:pPr>
        <w:jc w:val="both"/>
        <w:rPr>
          <w:sz w:val="24"/>
          <w:szCs w:val="24"/>
        </w:rPr>
      </w:pPr>
      <w:r w:rsidRPr="002E7D02">
        <w:rPr>
          <w:sz w:val="24"/>
          <w:szCs w:val="24"/>
        </w:rPr>
        <w:t>The Information Commissioner’s Office and the individuals affected will be notified promptly, if required.</w:t>
      </w:r>
    </w:p>
    <w:p w:rsidR="002E7D02" w:rsidRPr="002E7D02" w:rsidP="002E7D02" w14:paraId="1D92A4D4" w14:textId="77777777">
      <w:pPr>
        <w:jc w:val="both"/>
        <w:rPr>
          <w:sz w:val="24"/>
          <w:szCs w:val="24"/>
        </w:rPr>
      </w:pPr>
    </w:p>
    <w:p w:rsidR="002E7D02" w:rsidRPr="002E7D02" w:rsidP="002E7D02" w14:paraId="1DCA2106" w14:textId="04B5D700">
      <w:pPr>
        <w:jc w:val="both"/>
        <w:rPr>
          <w:sz w:val="24"/>
          <w:szCs w:val="24"/>
        </w:rPr>
      </w:pPr>
      <w:r w:rsidRPr="002E7D02">
        <w:rPr>
          <w:sz w:val="24"/>
          <w:szCs w:val="24"/>
        </w:rPr>
        <w:t xml:space="preserve">All security incidents and personal data breaches will be managed in accordance with </w:t>
      </w:r>
      <w:r>
        <w:rPr>
          <w:sz w:val="24"/>
          <w:szCs w:val="24"/>
        </w:rPr>
        <w:t>Ruchazie Housing Associatio</w:t>
      </w:r>
      <w:r w:rsidRPr="002E7D02">
        <w:rPr>
          <w:sz w:val="24"/>
          <w:szCs w:val="24"/>
        </w:rPr>
        <w:t>n’s Information Security Incident and Personal Breach Management Procedure.</w:t>
      </w:r>
    </w:p>
    <w:p w:rsidR="002E7D02" w:rsidRPr="002E7D02" w:rsidP="002E7D02" w14:paraId="6E61AC02" w14:textId="77777777">
      <w:pPr>
        <w:jc w:val="both"/>
        <w:rPr>
          <w:sz w:val="24"/>
          <w:szCs w:val="24"/>
        </w:rPr>
      </w:pPr>
    </w:p>
    <w:p w:rsidR="002E7D02" w:rsidRPr="002E7D02" w:rsidP="002E7D02" w14:paraId="3410B7D9" w14:textId="072D070C">
      <w:pPr>
        <w:jc w:val="both"/>
        <w:rPr>
          <w:sz w:val="24"/>
          <w:szCs w:val="24"/>
        </w:rPr>
      </w:pPr>
      <w:r w:rsidRPr="002E7D02">
        <w:rPr>
          <w:sz w:val="24"/>
          <w:szCs w:val="24"/>
        </w:rPr>
        <w:t xml:space="preserve">To assist with the prevention of personal data breaches, all </w:t>
      </w:r>
      <w:r>
        <w:rPr>
          <w:sz w:val="24"/>
          <w:szCs w:val="24"/>
        </w:rPr>
        <w:t xml:space="preserve">Ruchazie Housing Association </w:t>
      </w:r>
      <w:r w:rsidRPr="002E7D02">
        <w:rPr>
          <w:sz w:val="24"/>
          <w:szCs w:val="24"/>
        </w:rPr>
        <w:t xml:space="preserve">personnel must adhere to </w:t>
      </w:r>
      <w:r>
        <w:rPr>
          <w:sz w:val="24"/>
          <w:szCs w:val="24"/>
        </w:rPr>
        <w:t>Ruchazie Housing Associatio</w:t>
      </w:r>
      <w:r w:rsidRPr="002E7D02">
        <w:rPr>
          <w:sz w:val="24"/>
          <w:szCs w:val="24"/>
        </w:rPr>
        <w:t>n’s Information Security Policy and procedures.</w:t>
      </w:r>
    </w:p>
    <w:p w:rsidR="002E7D02" w:rsidRPr="002E7D02" w:rsidP="002E7D02" w14:paraId="0069C1B3" w14:textId="77777777">
      <w:pPr>
        <w:jc w:val="both"/>
        <w:rPr>
          <w:sz w:val="24"/>
          <w:szCs w:val="24"/>
        </w:rPr>
      </w:pPr>
    </w:p>
    <w:p w:rsidR="002E7D02" w:rsidRPr="002E7D02" w:rsidP="002E7D02" w14:paraId="7438968A" w14:textId="49F26A53">
      <w:pPr>
        <w:pStyle w:val="Heading1"/>
      </w:pPr>
      <w:bookmarkStart w:id="5" w:name="_Toc256000005"/>
      <w:r w:rsidRPr="002E7D02">
        <w:t>Individual Rights</w:t>
      </w:r>
      <w:bookmarkEnd w:id="5"/>
    </w:p>
    <w:p w:rsidR="002E7D02" w:rsidRPr="002E7D02" w:rsidP="002E7D02" w14:paraId="39F413E9" w14:textId="77777777">
      <w:pPr>
        <w:jc w:val="both"/>
        <w:rPr>
          <w:sz w:val="24"/>
          <w:szCs w:val="24"/>
        </w:rPr>
      </w:pPr>
    </w:p>
    <w:p w:rsidR="002E7D02" w:rsidRPr="002E7D02" w:rsidP="002E7D02" w14:paraId="63ACA989" w14:textId="2EE44596">
      <w:pPr>
        <w:jc w:val="both"/>
        <w:rPr>
          <w:sz w:val="24"/>
          <w:szCs w:val="24"/>
        </w:rPr>
      </w:pPr>
      <w:r>
        <w:rPr>
          <w:sz w:val="24"/>
          <w:szCs w:val="24"/>
        </w:rPr>
        <w:t xml:space="preserve">Ruchazie Housing Association </w:t>
      </w:r>
      <w:r w:rsidRPr="002E7D02">
        <w:rPr>
          <w:sz w:val="24"/>
          <w:szCs w:val="24"/>
        </w:rPr>
        <w:t xml:space="preserve">will uphold the rights of data subjects to access and retain control over their personal data in accordance with its Data Subject Rights Procedures.  </w:t>
      </w:r>
      <w:r>
        <w:rPr>
          <w:sz w:val="24"/>
          <w:szCs w:val="24"/>
        </w:rPr>
        <w:t xml:space="preserve">Ruchazie Housing Association </w:t>
      </w:r>
      <w:r w:rsidRPr="002E7D02">
        <w:rPr>
          <w:sz w:val="24"/>
          <w:szCs w:val="24"/>
        </w:rPr>
        <w:t>will comply with individuals’:</w:t>
      </w:r>
    </w:p>
    <w:p w:rsidR="002E7D02" w:rsidRPr="002E7D02" w:rsidP="002E7D02" w14:paraId="71F0C914" w14:textId="77777777">
      <w:pPr>
        <w:jc w:val="both"/>
        <w:rPr>
          <w:sz w:val="24"/>
          <w:szCs w:val="24"/>
        </w:rPr>
      </w:pPr>
    </w:p>
    <w:p w:rsidR="002E7D02" w:rsidRPr="002E7D02" w:rsidP="000012B8" w14:paraId="3D5EFC14" w14:textId="77777777">
      <w:pPr>
        <w:numPr>
          <w:ilvl w:val="0"/>
          <w:numId w:val="16"/>
        </w:numPr>
        <w:jc w:val="both"/>
        <w:rPr>
          <w:sz w:val="24"/>
          <w:szCs w:val="24"/>
        </w:rPr>
      </w:pPr>
      <w:r w:rsidRPr="002E7D02">
        <w:rPr>
          <w:sz w:val="24"/>
          <w:szCs w:val="24"/>
        </w:rPr>
        <w:t>Right to be Informed – by ensuring individuals are informed of the reasons for processing their data in a clear, transparent and easily accessible form and informing them of all their rights.</w:t>
      </w:r>
    </w:p>
    <w:p w:rsidR="002E7D02" w:rsidRPr="002E7D02" w:rsidP="000012B8" w14:paraId="7FF94FD2" w14:textId="77777777">
      <w:pPr>
        <w:numPr>
          <w:ilvl w:val="0"/>
          <w:numId w:val="16"/>
        </w:numPr>
        <w:jc w:val="both"/>
        <w:rPr>
          <w:sz w:val="24"/>
          <w:szCs w:val="24"/>
        </w:rPr>
      </w:pPr>
      <w:r w:rsidRPr="002E7D02">
        <w:rPr>
          <w:sz w:val="24"/>
          <w:szCs w:val="24"/>
        </w:rPr>
        <w:t>Right to Access – by ensuring that individuals are aware of their right to obtain confirmation that their data is being processed; access to copies of their personal data and other information such as a privacy notice and how to execute this right.</w:t>
      </w:r>
    </w:p>
    <w:p w:rsidR="002E7D02" w:rsidRPr="002E7D02" w:rsidP="000012B8" w14:paraId="1A783336" w14:textId="0730AF76">
      <w:pPr>
        <w:numPr>
          <w:ilvl w:val="0"/>
          <w:numId w:val="16"/>
        </w:numPr>
        <w:jc w:val="both"/>
        <w:rPr>
          <w:sz w:val="24"/>
          <w:szCs w:val="24"/>
        </w:rPr>
      </w:pPr>
      <w:r w:rsidRPr="002E7D02">
        <w:rPr>
          <w:sz w:val="24"/>
          <w:szCs w:val="24"/>
        </w:rPr>
        <w:t xml:space="preserve">Right to Rectification – by correcting personal data that is found to be inaccurate. </w:t>
      </w:r>
      <w:r>
        <w:rPr>
          <w:sz w:val="24"/>
          <w:szCs w:val="24"/>
        </w:rPr>
        <w:t xml:space="preserve">Ruchazie Housing Association </w:t>
      </w:r>
      <w:r w:rsidRPr="002E7D02">
        <w:rPr>
          <w:sz w:val="24"/>
          <w:szCs w:val="24"/>
        </w:rPr>
        <w:t xml:space="preserve">will advise data subjects on how to inform us that their data is inaccurate.  Inaccuracies with be rectified without undue delay. </w:t>
      </w:r>
    </w:p>
    <w:p w:rsidR="002E7D02" w:rsidRPr="002E7D02" w:rsidP="000012B8" w14:paraId="10516547" w14:textId="20441553">
      <w:pPr>
        <w:numPr>
          <w:ilvl w:val="0"/>
          <w:numId w:val="16"/>
        </w:numPr>
        <w:jc w:val="both"/>
        <w:rPr>
          <w:sz w:val="24"/>
          <w:szCs w:val="24"/>
        </w:rPr>
      </w:pPr>
      <w:r w:rsidRPr="002E7D02">
        <w:rPr>
          <w:sz w:val="24"/>
          <w:szCs w:val="24"/>
        </w:rPr>
        <w:t xml:space="preserve">Right to Erasure (sometimes referred to as ‘the right to be forgotten’) – </w:t>
      </w:r>
      <w:r>
        <w:rPr>
          <w:sz w:val="24"/>
          <w:szCs w:val="24"/>
        </w:rPr>
        <w:t xml:space="preserve">Ruchazie Housing Association </w:t>
      </w:r>
      <w:r w:rsidRPr="002E7D02">
        <w:rPr>
          <w:sz w:val="24"/>
          <w:szCs w:val="24"/>
        </w:rPr>
        <w:t>will advise data subjects of their right to request the deletion or removal of personal data where processing is no longer required or justified.</w:t>
      </w:r>
    </w:p>
    <w:p w:rsidR="002E7D02" w:rsidRPr="002E7D02" w:rsidP="000012B8" w14:paraId="1DA71349" w14:textId="7200EB12">
      <w:pPr>
        <w:numPr>
          <w:ilvl w:val="0"/>
          <w:numId w:val="16"/>
        </w:numPr>
        <w:jc w:val="both"/>
        <w:rPr>
          <w:sz w:val="24"/>
          <w:szCs w:val="24"/>
        </w:rPr>
      </w:pPr>
      <w:r w:rsidRPr="002E7D02">
        <w:rPr>
          <w:sz w:val="24"/>
          <w:szCs w:val="24"/>
        </w:rPr>
        <w:t xml:space="preserve">Rights to Restrict Processing – </w:t>
      </w:r>
      <w:r>
        <w:rPr>
          <w:sz w:val="24"/>
          <w:szCs w:val="24"/>
        </w:rPr>
        <w:t xml:space="preserve">Ruchazie Housing Association </w:t>
      </w:r>
      <w:r w:rsidRPr="002E7D02">
        <w:rPr>
          <w:sz w:val="24"/>
          <w:szCs w:val="24"/>
        </w:rPr>
        <w:t>will restrict processing when a valid request is received by a data subject and inform individuals of how to exercise this right.</w:t>
      </w:r>
    </w:p>
    <w:p w:rsidR="002E7D02" w:rsidRPr="002E7D02" w:rsidP="000012B8" w14:paraId="2D9B9DBB" w14:textId="77777777">
      <w:pPr>
        <w:numPr>
          <w:ilvl w:val="0"/>
          <w:numId w:val="16"/>
        </w:numPr>
        <w:jc w:val="both"/>
        <w:rPr>
          <w:sz w:val="24"/>
          <w:szCs w:val="24"/>
        </w:rPr>
      </w:pPr>
      <w:r w:rsidRPr="002E7D02">
        <w:rPr>
          <w:sz w:val="24"/>
          <w:szCs w:val="24"/>
        </w:rPr>
        <w:t>Right to Data Portability – by allowing, where possible, data to be transferred to similar organisation in a machine-readable format.</w:t>
      </w:r>
    </w:p>
    <w:p w:rsidR="002E7D02" w:rsidRPr="002E7D02" w:rsidP="000012B8" w14:paraId="45FEC9FA" w14:textId="77777777">
      <w:pPr>
        <w:numPr>
          <w:ilvl w:val="0"/>
          <w:numId w:val="16"/>
        </w:numPr>
        <w:jc w:val="both"/>
        <w:rPr>
          <w:sz w:val="24"/>
          <w:szCs w:val="24"/>
        </w:rPr>
      </w:pPr>
      <w:r w:rsidRPr="002E7D02">
        <w:rPr>
          <w:sz w:val="24"/>
          <w:szCs w:val="24"/>
        </w:rPr>
        <w:t>Right to Object – by stopping processing personal data, unless legitimate grounds can be demonstrated for the processing which override the interest, rights and freedoms of an individual, or the processing is for the establishment, exercise or defence of legal claims.</w:t>
      </w:r>
    </w:p>
    <w:p w:rsidR="002E7D02" w:rsidRPr="002E7D02" w:rsidP="002E7D02" w14:paraId="5A975AC1" w14:textId="77777777">
      <w:pPr>
        <w:jc w:val="both"/>
        <w:rPr>
          <w:sz w:val="24"/>
          <w:szCs w:val="24"/>
        </w:rPr>
      </w:pPr>
    </w:p>
    <w:p w:rsidR="002E7D02" w:rsidRPr="002E7D02" w:rsidP="002E7D02" w14:paraId="7B817D45" w14:textId="0ABEB30C">
      <w:pPr>
        <w:pStyle w:val="Heading1"/>
      </w:pPr>
      <w:bookmarkStart w:id="6" w:name="_Toc256000006"/>
      <w:r w:rsidRPr="002E7D02">
        <w:t>Data Protection by Design</w:t>
      </w:r>
      <w:bookmarkEnd w:id="6"/>
    </w:p>
    <w:p w:rsidR="002E7D02" w:rsidRPr="002E7D02" w:rsidP="002E7D02" w14:paraId="31AFB422" w14:textId="77777777">
      <w:pPr>
        <w:jc w:val="both"/>
        <w:rPr>
          <w:sz w:val="24"/>
          <w:szCs w:val="24"/>
        </w:rPr>
      </w:pPr>
    </w:p>
    <w:p w:rsidR="002E7D02" w:rsidRPr="002E7D02" w:rsidP="002E7D02" w14:paraId="3C9E3DC4" w14:textId="49E7F31D">
      <w:pPr>
        <w:jc w:val="both"/>
        <w:rPr>
          <w:sz w:val="24"/>
          <w:szCs w:val="24"/>
        </w:rPr>
      </w:pPr>
      <w:r>
        <w:rPr>
          <w:sz w:val="24"/>
          <w:szCs w:val="24"/>
        </w:rPr>
        <w:t xml:space="preserve">Ruchazie Housing Association </w:t>
      </w:r>
      <w:r w:rsidRPr="002E7D02">
        <w:rPr>
          <w:sz w:val="24"/>
          <w:szCs w:val="24"/>
        </w:rPr>
        <w:t>has an obligation to implement technical and organisational measures to demonstrate that data protection has been considered and integrated into its processing activities.</w:t>
      </w:r>
    </w:p>
    <w:p w:rsidR="002E7D02" w:rsidRPr="002E7D02" w:rsidP="002E7D02" w14:paraId="1DB451A3" w14:textId="77777777">
      <w:pPr>
        <w:jc w:val="both"/>
        <w:rPr>
          <w:sz w:val="24"/>
          <w:szCs w:val="24"/>
        </w:rPr>
      </w:pPr>
    </w:p>
    <w:p w:rsidR="002E7D02" w:rsidRPr="002E7D02" w:rsidP="002E7D02" w14:paraId="29AC8DFE" w14:textId="77777777">
      <w:pPr>
        <w:jc w:val="both"/>
        <w:rPr>
          <w:sz w:val="24"/>
          <w:szCs w:val="24"/>
        </w:rPr>
      </w:pPr>
      <w:r w:rsidRPr="002E7D02">
        <w:rPr>
          <w:sz w:val="24"/>
          <w:szCs w:val="24"/>
        </w:rPr>
        <w:t>When introducing any new type of processing, particularly using new technologies, it will take account of whether the processing is likely to result in a high risk to the rights and freedoms of individuals and consider the need for a Data Protection Impact Assessment (DPIA).</w:t>
      </w:r>
    </w:p>
    <w:p w:rsidR="002E7D02" w:rsidRPr="002E7D02" w:rsidP="002E7D02" w14:paraId="5BD01074" w14:textId="77777777">
      <w:pPr>
        <w:jc w:val="both"/>
        <w:rPr>
          <w:sz w:val="24"/>
          <w:szCs w:val="24"/>
        </w:rPr>
      </w:pPr>
    </w:p>
    <w:p w:rsidR="002E7D02" w:rsidRPr="002E7D02" w:rsidP="002E7D02" w14:paraId="58142168" w14:textId="77777777">
      <w:pPr>
        <w:jc w:val="both"/>
        <w:rPr>
          <w:sz w:val="24"/>
          <w:szCs w:val="24"/>
        </w:rPr>
      </w:pPr>
      <w:r w:rsidRPr="002E7D02">
        <w:rPr>
          <w:sz w:val="24"/>
          <w:szCs w:val="24"/>
        </w:rPr>
        <w:t xml:space="preserve">All new policies including the processing of personal data will be reviewed by the Data Protection </w:t>
      </w:r>
      <w:r w:rsidRPr="002E7D02">
        <w:rPr>
          <w:sz w:val="24"/>
          <w:szCs w:val="24"/>
        </w:rPr>
        <w:t>Lead</w:t>
      </w:r>
      <w:r w:rsidRPr="002E7D02">
        <w:rPr>
          <w:sz w:val="24"/>
          <w:szCs w:val="24"/>
        </w:rPr>
        <w:t xml:space="preserve"> to ensure compliance with the law and establish if a DPIA is required. Advice and assistance will be provided by the DPO and if it is confirmed that a DPIA is required, it will be carried out in accordance with [name of organisation]’s DPIA Procedure.</w:t>
      </w:r>
    </w:p>
    <w:p w:rsidR="002E7D02" w:rsidRPr="002E7D02" w:rsidP="002E7D02" w14:paraId="175288DF" w14:textId="77777777">
      <w:pPr>
        <w:jc w:val="both"/>
        <w:rPr>
          <w:sz w:val="24"/>
          <w:szCs w:val="24"/>
        </w:rPr>
      </w:pPr>
    </w:p>
    <w:p w:rsidR="002E7D02" w:rsidRPr="002E7D02" w:rsidP="002E7D02" w14:paraId="545990AD" w14:textId="438886D9">
      <w:pPr>
        <w:pStyle w:val="Heading1"/>
      </w:pPr>
      <w:bookmarkStart w:id="7" w:name="_Toc256000007"/>
      <w:r w:rsidRPr="002E7D02">
        <w:t>Training</w:t>
      </w:r>
      <w:bookmarkEnd w:id="7"/>
    </w:p>
    <w:p w:rsidR="002E7D02" w:rsidRPr="002E7D02" w:rsidP="002E7D02" w14:paraId="0B10297F" w14:textId="77777777">
      <w:pPr>
        <w:jc w:val="both"/>
        <w:rPr>
          <w:sz w:val="24"/>
          <w:szCs w:val="24"/>
        </w:rPr>
      </w:pPr>
    </w:p>
    <w:p w:rsidR="002E7D02" w:rsidRPr="002E7D02" w:rsidP="002E7D02" w14:paraId="0614AF27" w14:textId="1208B581">
      <w:pPr>
        <w:jc w:val="both"/>
        <w:rPr>
          <w:sz w:val="24"/>
          <w:szCs w:val="24"/>
        </w:rPr>
      </w:pPr>
      <w:r w:rsidRPr="002E7D02">
        <w:rPr>
          <w:sz w:val="24"/>
          <w:szCs w:val="24"/>
        </w:rPr>
        <w:t xml:space="preserve">All </w:t>
      </w:r>
      <w:r>
        <w:rPr>
          <w:sz w:val="24"/>
          <w:szCs w:val="24"/>
        </w:rPr>
        <w:t xml:space="preserve">Ruchazie Housing Association </w:t>
      </w:r>
      <w:r w:rsidRPr="002E7D02">
        <w:rPr>
          <w:sz w:val="24"/>
          <w:szCs w:val="24"/>
        </w:rPr>
        <w:t>personnel will be made aware of good practice in data protection and where to find guidance and support for data protection issues. Adequate and role specific data protection training will be provided during induction and annually thereafter to everyone who has access to personal data to ensure they understand their responsibilities.</w:t>
      </w:r>
    </w:p>
    <w:p w:rsidR="002E7D02" w:rsidRPr="002E7D02" w:rsidP="002E7D02" w14:paraId="62901F9E" w14:textId="77777777">
      <w:pPr>
        <w:jc w:val="both"/>
        <w:rPr>
          <w:sz w:val="24"/>
          <w:szCs w:val="24"/>
        </w:rPr>
      </w:pPr>
    </w:p>
    <w:p w:rsidR="002E7D02" w:rsidRPr="002E7D02" w:rsidP="002E7D02" w14:paraId="4E19CFEE" w14:textId="77777777">
      <w:pPr>
        <w:jc w:val="both"/>
        <w:rPr>
          <w:sz w:val="24"/>
          <w:szCs w:val="24"/>
        </w:rPr>
      </w:pPr>
      <w:r w:rsidRPr="002E7D02">
        <w:rPr>
          <w:sz w:val="24"/>
          <w:szCs w:val="24"/>
        </w:rPr>
        <w:t>Breach of Policy</w:t>
      </w:r>
    </w:p>
    <w:p w:rsidR="002E7D02" w:rsidRPr="002E7D02" w:rsidP="002E7D02" w14:paraId="4F4ACE01" w14:textId="77777777">
      <w:pPr>
        <w:jc w:val="both"/>
        <w:rPr>
          <w:sz w:val="24"/>
          <w:szCs w:val="24"/>
        </w:rPr>
      </w:pPr>
    </w:p>
    <w:p w:rsidR="002E7D02" w:rsidRPr="002E7D02" w:rsidP="002E7D02" w14:paraId="03CDCF76" w14:textId="77777777">
      <w:pPr>
        <w:jc w:val="both"/>
        <w:rPr>
          <w:sz w:val="24"/>
          <w:szCs w:val="24"/>
        </w:rPr>
      </w:pPr>
      <w:r w:rsidRPr="002E7D02">
        <w:rPr>
          <w:sz w:val="24"/>
          <w:szCs w:val="24"/>
        </w:rPr>
        <w:t>Any breaches of this policy may be dealt with in accordance with [name of organisation]’s disciplinary procedures.</w:t>
      </w:r>
    </w:p>
    <w:p w:rsidR="002E7D02" w:rsidRPr="002E7D02" w:rsidP="002E7D02" w14:paraId="099CA635" w14:textId="77777777">
      <w:pPr>
        <w:jc w:val="both"/>
        <w:rPr>
          <w:sz w:val="24"/>
          <w:szCs w:val="24"/>
        </w:rPr>
      </w:pPr>
    </w:p>
    <w:p w:rsidR="002E7D02" w:rsidRPr="002E7D02" w:rsidP="002E7D02" w14:paraId="59A0E58B" w14:textId="0DA3A8F0">
      <w:pPr>
        <w:pStyle w:val="Heading1"/>
      </w:pPr>
      <w:bookmarkStart w:id="8" w:name="_Toc256000008"/>
      <w:r w:rsidRPr="002E7D02">
        <w:t>Monitoring and Reporting</w:t>
      </w:r>
      <w:bookmarkEnd w:id="8"/>
    </w:p>
    <w:p w:rsidR="002E7D02" w:rsidRPr="002E7D02" w:rsidP="002E7D02" w14:paraId="0C92D85F" w14:textId="77777777">
      <w:pPr>
        <w:jc w:val="both"/>
        <w:rPr>
          <w:sz w:val="24"/>
          <w:szCs w:val="24"/>
        </w:rPr>
      </w:pPr>
    </w:p>
    <w:p w:rsidR="002E7D02" w:rsidRPr="002E7D02" w:rsidP="002E7D02" w14:paraId="788363F0" w14:textId="77777777">
      <w:pPr>
        <w:jc w:val="both"/>
        <w:rPr>
          <w:sz w:val="24"/>
          <w:szCs w:val="24"/>
        </w:rPr>
      </w:pPr>
      <w:r w:rsidRPr="002E7D02">
        <w:rPr>
          <w:sz w:val="24"/>
          <w:szCs w:val="24"/>
        </w:rPr>
        <w:t xml:space="preserve">Regular monitoring and audits will be undertaken by the Data Protection Lead and/or DPO to check compliance with the law, this policy and associated procedures. Any concerns will be raised with the Company Directors. </w:t>
      </w:r>
    </w:p>
    <w:p w:rsidR="002E7D02" w:rsidRPr="002E7D02" w:rsidP="002E7D02" w14:paraId="0064183A" w14:textId="77777777">
      <w:pPr>
        <w:jc w:val="both"/>
        <w:rPr>
          <w:rFonts w:cs="Arial"/>
          <w:color w:val="000000"/>
          <w:sz w:val="24"/>
          <w:szCs w:val="24"/>
        </w:rPr>
      </w:pPr>
    </w:p>
    <w:p w:rsidR="001943B5" w:rsidRPr="00973430" w:rsidP="001943B5" w14:paraId="5BE4EC53" w14:textId="77777777">
      <w:pPr>
        <w:jc w:val="both"/>
        <w:rPr>
          <w:b/>
        </w:rPr>
      </w:pPr>
    </w:p>
    <w:p w:rsidR="001943B5" w:rsidRPr="00973430" w:rsidP="002E7D02" w14:paraId="13203858" w14:textId="21F4A5DA">
      <w:pPr>
        <w:spacing w:line="360" w:lineRule="auto"/>
        <w:ind w:left="1440" w:hanging="720"/>
        <w:contextualSpacing/>
        <w:jc w:val="both"/>
        <w:rPr>
          <w:b/>
        </w:rPr>
      </w:pPr>
      <w:r w:rsidRPr="00973430">
        <w:rPr>
          <w:sz w:val="24"/>
          <w:szCs w:val="24"/>
        </w:rPr>
        <w:t>.</w:t>
      </w:r>
    </w:p>
    <w:p w:rsidR="006A0AEE" w:rsidP="001943B5" w14:paraId="7BD61D00" w14:textId="77777777">
      <w:pPr>
        <w:spacing w:line="360" w:lineRule="auto"/>
        <w:jc w:val="both"/>
      </w:pPr>
    </w:p>
    <w:p w:rsidR="006A0AEE" w:rsidRPr="00973430" w:rsidP="001943B5" w14:paraId="6023720C" w14:textId="77777777">
      <w:pPr>
        <w:spacing w:line="360" w:lineRule="auto"/>
        <w:jc w:val="both"/>
      </w:pPr>
    </w:p>
    <w:p w:rsidR="001943B5" w:rsidP="002E7D02" w14:paraId="4ADB29AC" w14:textId="501D2F2E">
      <w:pPr>
        <w:pStyle w:val="Heading1"/>
      </w:pPr>
      <w:bookmarkStart w:id="9" w:name="_Toc256000009"/>
      <w:r w:rsidRPr="00973430">
        <w:t xml:space="preserve">List of </w:t>
      </w:r>
      <w:r w:rsidR="002E7D02">
        <w:t>Related Documents</w:t>
      </w:r>
      <w:bookmarkEnd w:id="9"/>
      <w:r w:rsidR="002E7D02">
        <w:t xml:space="preserve"> </w:t>
      </w:r>
    </w:p>
    <w:p w:rsidR="001943B5" w:rsidRPr="00973430" w:rsidP="001943B5" w14:paraId="107FE98A" w14:textId="77777777">
      <w:pPr>
        <w:spacing w:line="360" w:lineRule="auto"/>
        <w:ind w:left="284" w:hanging="284"/>
        <w:jc w:val="both"/>
        <w:rPr>
          <w:sz w:val="24"/>
          <w:szCs w:val="24"/>
        </w:rPr>
      </w:pPr>
    </w:p>
    <w:p w:rsidR="001943B5" w:rsidRPr="00973430" w:rsidP="000012B8" w14:paraId="162F16CC" w14:textId="77777777">
      <w:pPr>
        <w:numPr>
          <w:ilvl w:val="3"/>
          <w:numId w:val="2"/>
        </w:numPr>
        <w:spacing w:line="360" w:lineRule="auto"/>
        <w:ind w:left="284" w:hanging="284"/>
        <w:contextualSpacing/>
        <w:jc w:val="both"/>
        <w:rPr>
          <w:sz w:val="24"/>
          <w:szCs w:val="24"/>
        </w:rPr>
      </w:pPr>
      <w:r w:rsidRPr="00973430">
        <w:rPr>
          <w:sz w:val="24"/>
          <w:szCs w:val="24"/>
        </w:rPr>
        <w:t>Model Data Sharing Agreement</w:t>
      </w:r>
    </w:p>
    <w:p w:rsidR="001943B5" w:rsidP="000012B8" w14:paraId="7E6F41BD" w14:textId="77777777">
      <w:pPr>
        <w:numPr>
          <w:ilvl w:val="3"/>
          <w:numId w:val="2"/>
        </w:numPr>
        <w:spacing w:line="360" w:lineRule="auto"/>
        <w:ind w:left="284" w:hanging="284"/>
        <w:contextualSpacing/>
        <w:jc w:val="both"/>
        <w:rPr>
          <w:sz w:val="24"/>
          <w:szCs w:val="24"/>
        </w:rPr>
      </w:pPr>
      <w:r w:rsidRPr="00973430">
        <w:rPr>
          <w:sz w:val="24"/>
          <w:szCs w:val="24"/>
        </w:rPr>
        <w:t>Model Data Processor Addendum</w:t>
      </w:r>
    </w:p>
    <w:p w:rsidR="006A0AEE" w:rsidRPr="002E7D02" w:rsidP="000012B8" w14:paraId="24578ED9" w14:textId="4C436565">
      <w:pPr>
        <w:numPr>
          <w:ilvl w:val="3"/>
          <w:numId w:val="2"/>
        </w:numPr>
        <w:spacing w:line="360" w:lineRule="auto"/>
        <w:ind w:left="284" w:hanging="284"/>
        <w:contextualSpacing/>
        <w:jc w:val="both"/>
        <w:rPr>
          <w:b/>
          <w:i/>
          <w:sz w:val="24"/>
          <w:szCs w:val="24"/>
        </w:rPr>
      </w:pPr>
      <w:r>
        <w:rPr>
          <w:sz w:val="24"/>
          <w:szCs w:val="24"/>
        </w:rPr>
        <w:t xml:space="preserve">Data protection Impact Assessment </w:t>
      </w:r>
      <w:r w:rsidR="00E10DAE">
        <w:rPr>
          <w:sz w:val="24"/>
          <w:szCs w:val="24"/>
        </w:rPr>
        <w:t xml:space="preserve">procedure </w:t>
      </w:r>
      <w:r w:rsidR="00756D63">
        <w:rPr>
          <w:sz w:val="24"/>
          <w:szCs w:val="24"/>
        </w:rPr>
        <w:t xml:space="preserve">and templates </w:t>
      </w:r>
    </w:p>
    <w:p w:rsidR="002E7D02" w:rsidRPr="002E7D02" w:rsidP="000012B8" w14:paraId="3F588667" w14:textId="77777777">
      <w:pPr>
        <w:numPr>
          <w:ilvl w:val="3"/>
          <w:numId w:val="2"/>
        </w:numPr>
        <w:spacing w:line="360" w:lineRule="auto"/>
        <w:ind w:left="284" w:hanging="284"/>
        <w:contextualSpacing/>
        <w:jc w:val="both"/>
        <w:rPr>
          <w:b/>
          <w:i/>
          <w:sz w:val="24"/>
          <w:szCs w:val="24"/>
        </w:rPr>
      </w:pPr>
      <w:r>
        <w:rPr>
          <w:sz w:val="24"/>
          <w:szCs w:val="24"/>
        </w:rPr>
        <w:t>Retention Policy and schedule</w:t>
      </w:r>
    </w:p>
    <w:p w:rsidR="002E7D02" w:rsidRPr="002E7D02" w:rsidP="000012B8" w14:paraId="478473BA" w14:textId="1571FCE0">
      <w:pPr>
        <w:numPr>
          <w:ilvl w:val="3"/>
          <w:numId w:val="2"/>
        </w:numPr>
        <w:spacing w:line="360" w:lineRule="auto"/>
        <w:ind w:left="284" w:hanging="284"/>
        <w:contextualSpacing/>
        <w:jc w:val="both"/>
        <w:rPr>
          <w:bCs/>
          <w:iCs/>
          <w:sz w:val="24"/>
          <w:szCs w:val="24"/>
        </w:rPr>
      </w:pPr>
      <w:r w:rsidRPr="002E7D02">
        <w:rPr>
          <w:bCs/>
          <w:iCs/>
          <w:sz w:val="24"/>
          <w:szCs w:val="24"/>
        </w:rPr>
        <w:t xml:space="preserve">Information security policy </w:t>
      </w:r>
    </w:p>
    <w:p w:rsidR="002E7D02" w:rsidRPr="002E7D02" w:rsidP="000012B8" w14:paraId="5D091110" w14:textId="562FE99E">
      <w:pPr>
        <w:numPr>
          <w:ilvl w:val="3"/>
          <w:numId w:val="2"/>
        </w:numPr>
        <w:spacing w:line="360" w:lineRule="auto"/>
        <w:ind w:left="284" w:hanging="284"/>
        <w:contextualSpacing/>
        <w:jc w:val="both"/>
        <w:rPr>
          <w:bCs/>
          <w:iCs/>
          <w:sz w:val="24"/>
          <w:szCs w:val="24"/>
        </w:rPr>
      </w:pPr>
      <w:r w:rsidRPr="002E7D02">
        <w:rPr>
          <w:bCs/>
          <w:iCs/>
          <w:sz w:val="24"/>
          <w:szCs w:val="24"/>
        </w:rPr>
        <w:t>Privacy notices for web, staff and governing bodies</w:t>
      </w:r>
    </w:p>
    <w:p w:rsidR="002E7D02" w:rsidRPr="00973430" w:rsidP="002E7D02" w14:paraId="47B9D2CB" w14:textId="77777777">
      <w:pPr>
        <w:spacing w:line="360" w:lineRule="auto"/>
        <w:ind w:left="284"/>
        <w:contextualSpacing/>
        <w:jc w:val="both"/>
        <w:rPr>
          <w:b/>
          <w:i/>
          <w:sz w:val="24"/>
          <w:szCs w:val="24"/>
        </w:rPr>
      </w:pPr>
    </w:p>
    <w:p w:rsidR="00350903" w14:paraId="4E0FCF18" w14:textId="77777777"/>
    <w:p w:rsidR="006A0AEE" w14:paraId="4F88AD03" w14:textId="77777777"/>
    <w:p w:rsidR="006A0AEE" w14:paraId="496233CA" w14:textId="77777777"/>
    <w:p w:rsidR="006A0AEE" w14:paraId="5769B535" w14:textId="77777777"/>
    <w:p w:rsidR="006A0AEE" w14:paraId="0D599084" w14:textId="77777777"/>
    <w:p w:rsidR="006A0AEE" w14:paraId="4009DEC3" w14:textId="77777777"/>
    <w:p w:rsidR="006A0AEE" w14:paraId="55B3AB44" w14:textId="77777777"/>
    <w:p w:rsidR="006A0AEE" w14:paraId="68BE3408" w14:textId="77777777"/>
    <w:p w:rsidR="006A0AEE" w14:paraId="63DEF90F" w14:textId="77777777"/>
    <w:p w:rsidR="006A0AEE" w14:paraId="7C05B2B3" w14:textId="77777777"/>
    <w:p w:rsidR="006A0AEE" w14:paraId="01A57FB5" w14:textId="77777777"/>
    <w:p w:rsidR="006A0AEE" w14:paraId="4520EDD6" w14:textId="77777777"/>
    <w:p w:rsidR="006A0AEE" w14:paraId="1B511598" w14:textId="77777777"/>
    <w:p w:rsidR="006A0AEE" w14:paraId="10B627E9" w14:textId="77777777"/>
    <w:p w:rsidR="006A0AEE" w14:paraId="3725D842" w14:textId="77777777"/>
    <w:p w:rsidR="006A0AEE" w14:paraId="41E621CF" w14:textId="77777777"/>
    <w:p w:rsidR="006A0AEE" w14:paraId="34ABE721" w14:textId="77777777"/>
    <w:p w:rsidR="006A0AEE" w14:paraId="41CEAA2A" w14:textId="77777777"/>
    <w:p w:rsidR="006A0AEE" w14:paraId="3062EA8B" w14:textId="77777777"/>
    <w:p w:rsidR="006A0AEE" w14:paraId="5DCCB5CE" w14:textId="77777777"/>
    <w:p w:rsidR="006A0AEE" w14:paraId="11677B7A" w14:textId="77777777"/>
    <w:p w:rsidR="006A0AEE" w14:paraId="49F8B06A" w14:textId="618A9C35"/>
    <w:p w:rsidR="006A0AEE" w14:paraId="6494BC14" w14:textId="77777777"/>
    <w:p w:rsidR="006A0AEE" w14:paraId="390048D9" w14:textId="77777777"/>
    <w:p w:rsidR="006A0AEE" w14:paraId="5AF770CA" w14:textId="77777777"/>
    <w:p w:rsidR="006A0AEE" w14:paraId="61AEEBEB" w14:textId="77777777"/>
    <w:p w:rsidR="006A0AEE" w14:paraId="0E9D7DDA" w14:textId="77777777"/>
    <w:p w:rsidR="006A0AEE" w14:paraId="4AF1C1C0" w14:textId="77777777"/>
    <w:p w:rsidR="006A0AEE" w14:paraId="37A2CD60" w14:textId="77777777"/>
    <w:p w:rsidR="006A0AEE" w14:paraId="7BADA18E" w14:textId="77777777"/>
    <w:p w:rsidR="006A0AEE" w14:paraId="4F1BC1F1" w14:textId="77777777"/>
    <w:p w:rsidR="006A0AEE" w14:paraId="76EC100A" w14:textId="77777777"/>
    <w:p w:rsidR="006A0AEE" w14:paraId="59305980" w14:textId="77777777"/>
    <w:p w:rsidR="006A0AEE" w14:paraId="2EE665BB" w14:textId="77777777"/>
    <w:p w:rsidR="006A0AEE" w14:paraId="57D995CB" w14:textId="77777777"/>
    <w:p w:rsidR="006A0AEE" w14:paraId="515464F0" w14:textId="0C5B4539"/>
    <w:p w:rsidR="006A0AEE" w14:paraId="2DB11D03" w14:textId="77777777"/>
    <w:p w:rsidR="006A0AEE" w14:paraId="7EB2BD0D" w14:textId="77777777"/>
    <w:p w:rsidR="006A0AEE" w14:paraId="2A0B8812" w14:textId="77777777"/>
    <w:p w:rsidR="006A0AEE" w:rsidRPr="006A0AEE" w:rsidP="006A0AEE" w14:paraId="176FE732" w14:textId="77777777">
      <w:pPr>
        <w:rPr>
          <w:b/>
        </w:rPr>
      </w:pPr>
    </w:p>
    <w:p w:rsidR="006A0AEE" w:rsidRPr="006A0AEE" w:rsidP="006A0AEE" w14:paraId="3B0515AC" w14:textId="267B8E56">
      <w:pPr>
        <w:rPr>
          <w:b/>
        </w:rPr>
      </w:pPr>
    </w:p>
    <w:p w:rsidR="006A0AEE" w:rsidRPr="006A0AEE" w:rsidP="006A0AEE" w14:paraId="4D1D3D47" w14:textId="77777777">
      <w:pPr>
        <w:rPr>
          <w:b/>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D02" w14:paraId="6B41C8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9E2" w14:paraId="5409BACE" w14:textId="45C61FC5">
    <w:pPr>
      <w:pStyle w:val="Footer"/>
    </w:pPr>
    <w:r>
      <w:fldChar w:fldCharType="begin"/>
    </w:r>
    <w:r>
      <w:instrText xml:space="preserve"> PAGE   \* MERGEFORMAT </w:instrText>
    </w:r>
    <w:r>
      <w:fldChar w:fldCharType="separate"/>
    </w:r>
    <w:r w:rsidR="007953FE">
      <w:rPr>
        <w:noProof/>
      </w:rPr>
      <w:t>8</w:t>
    </w:r>
    <w:r>
      <w:rPr>
        <w:noProof/>
      </w:rPr>
      <w:fldChar w:fldCharType="end"/>
    </w:r>
    <w:r w:rsidR="009A5B8B">
      <w:rPr>
        <w:noProof/>
      </w:rPr>
      <w:tab/>
      <w:t xml:space="preserve">RHA </w:t>
    </w:r>
    <w:r w:rsidR="00391754">
      <w:rPr>
        <w:noProof/>
      </w:rPr>
      <w:t>G</w:t>
    </w:r>
    <w:r w:rsidR="009A5B8B">
      <w:rPr>
        <w:noProof/>
      </w:rPr>
      <w:t>DPR Policy v2.0 November 2024</w:t>
    </w:r>
  </w:p>
  <w:p w:rsidR="00DB4209" w:rsidRPr="00A92288" w:rsidP="00A92288" w14:paraId="145064F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D02" w14:paraId="7E942B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D02" w14:paraId="23DA81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D02" w14:paraId="5B6094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D02" w14:paraId="5A9F17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806E1"/>
    <w:multiLevelType w:val="hybridMultilevel"/>
    <w:tmpl w:val="0F98B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2B54A5"/>
    <w:multiLevelType w:val="hybridMultilevel"/>
    <w:tmpl w:val="A09C0BEE"/>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i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128584B"/>
    <w:multiLevelType w:val="hybridMultilevel"/>
    <w:tmpl w:val="0DA84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F46F5"/>
    <w:multiLevelType w:val="multilevel"/>
    <w:tmpl w:val="6B041A60"/>
    <w:lvl w:ilvl="0">
      <w:start w:val="1"/>
      <w:numFmt w:val="decimal"/>
      <w:lvlText w:val="%1."/>
      <w:lvlJc w:val="left"/>
      <w:pPr>
        <w:ind w:left="720" w:hanging="360"/>
      </w:pPr>
      <w:rPr>
        <w:rFonts w:hint="default"/>
      </w:rPr>
    </w:lvl>
    <w:lvl w:ilvl="1">
      <w:start w:val="1"/>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C3A1B27"/>
    <w:multiLevelType w:val="hybridMultilevel"/>
    <w:tmpl w:val="CB680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620342"/>
    <w:multiLevelType w:val="hybridMultilevel"/>
    <w:tmpl w:val="D21E42F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3966680"/>
    <w:multiLevelType w:val="multilevel"/>
    <w:tmpl w:val="047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1779C"/>
    <w:multiLevelType w:val="hybridMultilevel"/>
    <w:tmpl w:val="3006DEB4"/>
    <w:lvl w:ilvl="0">
      <w:start w:val="3"/>
      <w:numFmt w:val="decimal"/>
      <w:lvlText w:val="%1."/>
      <w:lvlJc w:val="left"/>
      <w:pPr>
        <w:ind w:left="360" w:hanging="360"/>
      </w:pPr>
      <w:rPr>
        <w:rFonts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5252EF1"/>
    <w:multiLevelType w:val="hybridMultilevel"/>
    <w:tmpl w:val="5FEA2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51623"/>
    <w:multiLevelType w:val="multilevel"/>
    <w:tmpl w:val="03F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278B9"/>
    <w:multiLevelType w:val="hybridMultilevel"/>
    <w:tmpl w:val="E7067FE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3020F3"/>
    <w:multiLevelType w:val="multilevel"/>
    <w:tmpl w:val="A3BC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F4AA9"/>
    <w:multiLevelType w:val="hybridMultilevel"/>
    <w:tmpl w:val="E7901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4123CA"/>
    <w:multiLevelType w:val="hybridMultilevel"/>
    <w:tmpl w:val="800E27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122D3E"/>
    <w:multiLevelType w:val="multilevel"/>
    <w:tmpl w:val="DE9CA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44D3598"/>
    <w:multiLevelType w:val="hybridMultilevel"/>
    <w:tmpl w:val="860292C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6E272F07"/>
    <w:multiLevelType w:val="hybridMultilevel"/>
    <w:tmpl w:val="A5B48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5F4BC3"/>
    <w:multiLevelType w:val="hybridMultilevel"/>
    <w:tmpl w:val="C13CD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6"/>
  </w:num>
  <w:num w:numId="6">
    <w:abstractNumId w:val="4"/>
  </w:num>
  <w:num w:numId="7">
    <w:abstractNumId w:val="14"/>
  </w:num>
  <w:num w:numId="8">
    <w:abstractNumId w:val="7"/>
  </w:num>
  <w:num w:numId="9">
    <w:abstractNumId w:val="5"/>
  </w:num>
  <w:num w:numId="10">
    <w:abstractNumId w:val="9"/>
  </w:num>
  <w:num w:numId="11">
    <w:abstractNumId w:val="6"/>
  </w:num>
  <w:num w:numId="12">
    <w:abstractNumId w:val="11"/>
  </w:num>
  <w:num w:numId="13">
    <w:abstractNumId w:val="0"/>
  </w:num>
  <w:num w:numId="14">
    <w:abstractNumId w:val="8"/>
  </w:num>
  <w:num w:numId="15">
    <w:abstractNumId w:val="12"/>
  </w:num>
  <w:num w:numId="16">
    <w:abstractNumId w:val="2"/>
  </w:num>
  <w:num w:numId="17">
    <w:abstractNumId w:val="15"/>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B5"/>
    <w:rsid w:val="000012B8"/>
    <w:rsid w:val="000C4AC4"/>
    <w:rsid w:val="001943B5"/>
    <w:rsid w:val="001E49E2"/>
    <w:rsid w:val="00224052"/>
    <w:rsid w:val="002C6487"/>
    <w:rsid w:val="002E7D02"/>
    <w:rsid w:val="00350903"/>
    <w:rsid w:val="00391754"/>
    <w:rsid w:val="003A4AA7"/>
    <w:rsid w:val="003C6FAA"/>
    <w:rsid w:val="006A0AEE"/>
    <w:rsid w:val="006D3C46"/>
    <w:rsid w:val="00752BC0"/>
    <w:rsid w:val="00756D63"/>
    <w:rsid w:val="007953FE"/>
    <w:rsid w:val="007E5BC5"/>
    <w:rsid w:val="00973430"/>
    <w:rsid w:val="009A5B8B"/>
    <w:rsid w:val="009B04BD"/>
    <w:rsid w:val="00A250D6"/>
    <w:rsid w:val="00A707DA"/>
    <w:rsid w:val="00A85861"/>
    <w:rsid w:val="00A92288"/>
    <w:rsid w:val="00B0396C"/>
    <w:rsid w:val="00C16515"/>
    <w:rsid w:val="00DB4209"/>
    <w:rsid w:val="00E10DAE"/>
    <w:rsid w:val="00E55D42"/>
  </w:rsids>
  <w:docVars>
    <w:docVar w:name="LEAPTempPath" w:val="C:\Users\Owner\AppData\Local\LEAP Desktop\CDE\5e27e30d-3042-419d-9ad6-b7b0371a1367\LEAP2Office\MacroFields\"/>
    <w:docVar w:name="LEAPUniqueCode" w:val="5d3975ef-24e1-544f-afa0-c408938d1333"/>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0CBD1169-2B7D-4167-86AE-DB947F5A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6A0AEE"/>
    <w:pPr>
      <w:keepNext/>
      <w:keepLines/>
      <w:spacing w:before="240" w:line="276" w:lineRule="auto"/>
      <w:outlineLvl w:val="0"/>
    </w:pPr>
    <w:rPr>
      <w:rFonts w:ascii="Calibri" w:hAnsi="Calibri"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A0AEE"/>
    <w:pPr>
      <w:keepNext/>
      <w:keepLines/>
      <w:spacing w:before="40" w:line="276" w:lineRule="auto"/>
      <w:outlineLvl w:val="1"/>
    </w:pPr>
    <w:rPr>
      <w:rFonts w:asciiTheme="minorHAnsi" w:eastAsiaTheme="majorEastAsia" w:hAnsiTheme="min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43B5"/>
    <w:pPr>
      <w:tabs>
        <w:tab w:val="center" w:pos="4153"/>
        <w:tab w:val="right" w:pos="8306"/>
      </w:tabs>
    </w:pPr>
  </w:style>
  <w:style w:type="character" w:customStyle="1" w:styleId="FooterChar">
    <w:name w:val="Footer Char"/>
    <w:basedOn w:val="DefaultParagraphFont"/>
    <w:link w:val="Footer"/>
    <w:uiPriority w:val="99"/>
    <w:rsid w:val="001943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943B5"/>
    <w:rPr>
      <w:rFonts w:ascii="Tahoma" w:hAnsi="Tahoma" w:cs="Tahoma"/>
      <w:sz w:val="16"/>
      <w:szCs w:val="16"/>
    </w:rPr>
  </w:style>
  <w:style w:type="character" w:customStyle="1" w:styleId="BalloonTextChar">
    <w:name w:val="Balloon Text Char"/>
    <w:basedOn w:val="DefaultParagraphFont"/>
    <w:link w:val="BalloonText"/>
    <w:uiPriority w:val="99"/>
    <w:semiHidden/>
    <w:rsid w:val="001943B5"/>
    <w:rPr>
      <w:rFonts w:ascii="Tahoma" w:eastAsia="Times New Roman" w:hAnsi="Tahoma" w:cs="Tahoma"/>
      <w:sz w:val="16"/>
      <w:szCs w:val="16"/>
    </w:rPr>
  </w:style>
  <w:style w:type="paragraph" w:styleId="Header">
    <w:name w:val="header"/>
    <w:basedOn w:val="Normal"/>
    <w:link w:val="HeaderChar"/>
    <w:uiPriority w:val="99"/>
    <w:unhideWhenUsed/>
    <w:rsid w:val="001943B5"/>
    <w:pPr>
      <w:tabs>
        <w:tab w:val="center" w:pos="4513"/>
        <w:tab w:val="right" w:pos="9026"/>
      </w:tabs>
    </w:pPr>
  </w:style>
  <w:style w:type="character" w:customStyle="1" w:styleId="HeaderChar">
    <w:name w:val="Header Char"/>
    <w:basedOn w:val="DefaultParagraphFont"/>
    <w:link w:val="Header"/>
    <w:uiPriority w:val="99"/>
    <w:rsid w:val="001943B5"/>
    <w:rPr>
      <w:rFonts w:ascii="Arial" w:eastAsia="Times New Roman" w:hAnsi="Arial" w:cs="Times New Roman"/>
      <w:sz w:val="20"/>
      <w:szCs w:val="20"/>
    </w:rPr>
  </w:style>
  <w:style w:type="paragraph" w:styleId="ListParagraph">
    <w:name w:val="List Paragraph"/>
    <w:basedOn w:val="Normal"/>
    <w:uiPriority w:val="34"/>
    <w:qFormat/>
    <w:rsid w:val="001943B5"/>
    <w:pPr>
      <w:ind w:left="720"/>
      <w:contextualSpacing/>
    </w:pPr>
  </w:style>
  <w:style w:type="table" w:styleId="TableGrid">
    <w:name w:val="Table Grid"/>
    <w:basedOn w:val="TableNormal"/>
    <w:uiPriority w:val="59"/>
    <w:rsid w:val="006A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0AEE"/>
    <w:rPr>
      <w:rFonts w:ascii="Calibri" w:hAnsi="Calibri"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6A0AEE"/>
    <w:rPr>
      <w:rFonts w:eastAsiaTheme="majorEastAsia" w:cstheme="majorBidi"/>
      <w:b/>
      <w:color w:val="000000" w:themeColor="text1"/>
      <w:sz w:val="24"/>
      <w:szCs w:val="26"/>
    </w:rPr>
  </w:style>
  <w:style w:type="paragraph" w:customStyle="1" w:styleId="Default">
    <w:name w:val="Default"/>
    <w:rsid w:val="006A0AE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A0AEE"/>
    <w:pPr>
      <w:spacing w:after="240"/>
    </w:pPr>
    <w:rPr>
      <w:rFonts w:ascii="Times New Roman" w:hAnsi="Times New Roman"/>
      <w:sz w:val="24"/>
      <w:szCs w:val="24"/>
      <w:lang w:eastAsia="en-GB"/>
    </w:rPr>
  </w:style>
  <w:style w:type="character" w:customStyle="1" w:styleId="legds2">
    <w:name w:val="legds2"/>
    <w:basedOn w:val="DefaultParagraphFont"/>
    <w:rsid w:val="006A0AEE"/>
    <w:rPr>
      <w:vanish w:val="0"/>
      <w:webHidden w:val="0"/>
      <w:specVanish w:val="0"/>
    </w:rPr>
  </w:style>
  <w:style w:type="character" w:styleId="Hyperlink">
    <w:name w:val="Hyperlink"/>
    <w:uiPriority w:val="99"/>
    <w:rsid w:val="006A0AEE"/>
    <w:rPr>
      <w:color w:val="0000FF"/>
      <w:u w:val="single"/>
    </w:rPr>
  </w:style>
  <w:style w:type="paragraph" w:customStyle="1" w:styleId="legclearfix1">
    <w:name w:val="legclearfix1"/>
    <w:basedOn w:val="Normal"/>
    <w:rsid w:val="006A0AEE"/>
    <w:pPr>
      <w:shd w:val="clear" w:color="auto" w:fill="FFFFFF"/>
      <w:spacing w:after="120"/>
    </w:pPr>
    <w:rPr>
      <w:rFonts w:ascii="Times New Roman" w:hAnsi="Times New Roman"/>
      <w:color w:val="000000"/>
      <w:sz w:val="19"/>
      <w:szCs w:val="19"/>
      <w:lang w:eastAsia="en-GB"/>
    </w:rPr>
  </w:style>
  <w:style w:type="paragraph" w:styleId="TOCHeading">
    <w:name w:val="TOC Heading"/>
    <w:basedOn w:val="Heading1"/>
    <w:next w:val="Normal"/>
    <w:uiPriority w:val="39"/>
    <w:unhideWhenUsed/>
    <w:qFormat/>
    <w:rsid w:val="006A0AEE"/>
    <w:pPr>
      <w:spacing w:line="259" w:lineRule="auto"/>
      <w:outlineLvl w:val="9"/>
    </w:pPr>
    <w:rPr>
      <w:lang w:val="en-US"/>
    </w:rPr>
  </w:style>
  <w:style w:type="paragraph" w:styleId="TOC1">
    <w:name w:val="toc 1"/>
    <w:basedOn w:val="Normal"/>
    <w:next w:val="Normal"/>
    <w:autoRedefine/>
    <w:uiPriority w:val="39"/>
    <w:unhideWhenUsed/>
    <w:rsid w:val="006A0AEE"/>
    <w:pPr>
      <w:tabs>
        <w:tab w:val="right" w:leader="dot" w:pos="9016"/>
      </w:tabs>
      <w:spacing w:after="8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6A0AEE"/>
    <w:pPr>
      <w:tabs>
        <w:tab w:val="right" w:leader="dot" w:pos="9016"/>
      </w:tabs>
      <w:spacing w:after="100" w:line="276" w:lineRule="auto"/>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6A0AEE"/>
    <w:rPr>
      <w:color w:val="800080" w:themeColor="followedHyperlink"/>
      <w:u w:val="single"/>
    </w:rPr>
  </w:style>
  <w:style w:type="character" w:styleId="CommentReference">
    <w:name w:val="annotation reference"/>
    <w:basedOn w:val="DefaultParagraphFont"/>
    <w:uiPriority w:val="99"/>
    <w:semiHidden/>
    <w:unhideWhenUsed/>
    <w:rsid w:val="006A0AEE"/>
    <w:rPr>
      <w:sz w:val="16"/>
      <w:szCs w:val="16"/>
    </w:rPr>
  </w:style>
  <w:style w:type="paragraph" w:styleId="CommentText">
    <w:name w:val="annotation text"/>
    <w:basedOn w:val="Normal"/>
    <w:link w:val="CommentTextChar"/>
    <w:uiPriority w:val="99"/>
    <w:semiHidden/>
    <w:unhideWhenUsed/>
    <w:rsid w:val="006A0A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A0AEE"/>
    <w:rPr>
      <w:sz w:val="20"/>
      <w:szCs w:val="20"/>
    </w:rPr>
  </w:style>
  <w:style w:type="paragraph" w:styleId="CommentSubject">
    <w:name w:val="annotation subject"/>
    <w:basedOn w:val="CommentText"/>
    <w:next w:val="CommentText"/>
    <w:link w:val="CommentSubjectChar"/>
    <w:uiPriority w:val="99"/>
    <w:semiHidden/>
    <w:unhideWhenUsed/>
    <w:rsid w:val="006A0AEE"/>
    <w:rPr>
      <w:b/>
      <w:bCs/>
    </w:rPr>
  </w:style>
  <w:style w:type="character" w:customStyle="1" w:styleId="CommentSubjectChar">
    <w:name w:val="Comment Subject Char"/>
    <w:basedOn w:val="CommentTextChar"/>
    <w:link w:val="CommentSubject"/>
    <w:uiPriority w:val="99"/>
    <w:semiHidden/>
    <w:rsid w:val="006A0AEE"/>
    <w:rPr>
      <w:b/>
      <w:bCs/>
      <w:sz w:val="20"/>
      <w:szCs w:val="20"/>
    </w:rPr>
  </w:style>
  <w:style w:type="character" w:customStyle="1" w:styleId="UnresolvedMention1">
    <w:name w:val="Unresolved Mention1"/>
    <w:basedOn w:val="DefaultParagraphFont"/>
    <w:uiPriority w:val="99"/>
    <w:semiHidden/>
    <w:unhideWhenUsed/>
    <w:rsid w:val="006A0AEE"/>
    <w:rPr>
      <w:color w:val="605E5C"/>
      <w:shd w:val="clear" w:color="auto" w:fill="E1DFDD"/>
    </w:rPr>
  </w:style>
  <w:style w:type="character" w:customStyle="1" w:styleId="apple-tab-span">
    <w:name w:val="apple-tab-span"/>
    <w:basedOn w:val="DefaultParagraphFont"/>
    <w:rsid w:val="006A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1855</Words>
  <Characters>10412</Characters>
  <Application>Microsoft Office Word</Application>
  <DocSecurity>0</DocSecurity>
  <Lines>347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Trish Knight</cp:lastModifiedBy>
  <cp:revision>5</cp:revision>
  <dcterms:created xsi:type="dcterms:W3CDTF">2024-10-31T05:52:00Z</dcterms:created>
  <dcterms:modified xsi:type="dcterms:W3CDTF">2024-10-31T06:06:00Z</dcterms:modified>
</cp:coreProperties>
</file>